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sz w:val="24"/>
          <w:lang w:val="en-US" w:eastAsia="zh-CN"/>
        </w:rPr>
      </w:pPr>
      <w:r>
        <w:rPr>
          <w:rFonts w:hint="eastAsia" w:ascii="Arial" w:hAnsi="Arial" w:cs="Arial"/>
          <w:b/>
          <w:sz w:val="24"/>
        </w:rPr>
        <w:t xml:space="preserve">3GPP TSG-RAN WG4 Meeting </w:t>
      </w:r>
      <w:r>
        <w:rPr>
          <w:rFonts w:ascii="Arial" w:hAnsi="Arial" w:cs="Arial"/>
          <w:b/>
          <w:sz w:val="24"/>
          <w:szCs w:val="24"/>
        </w:rPr>
        <w:t>#</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4</w:t>
      </w:r>
      <w:r>
        <w:rPr>
          <w:rFonts w:ascii="Arial" w:hAnsi="Arial" w:cs="Arial"/>
          <w:b/>
          <w:sz w:val="24"/>
          <w:szCs w:val="24"/>
        </w:rPr>
        <w:t>-e</w:t>
      </w:r>
      <w:r>
        <w:rPr>
          <w:rFonts w:ascii="Arial" w:hAnsi="Arial" w:eastAsia="MS Mincho"/>
          <w:b/>
          <w:sz w:val="24"/>
        </w:rPr>
        <w:tab/>
      </w:r>
      <w:r>
        <w:rPr>
          <w:rFonts w:hint="eastAsia" w:ascii="Arial" w:hAnsi="Arial"/>
          <w:b/>
          <w:color w:val="auto"/>
          <w:sz w:val="24"/>
          <w:lang w:eastAsia="zh-CN"/>
        </w:rPr>
        <w:t>R4-2212635</w:t>
      </w:r>
    </w:p>
    <w:p>
      <w:pPr>
        <w:tabs>
          <w:tab w:val="left" w:pos="420"/>
          <w:tab w:val="left" w:pos="840"/>
          <w:tab w:val="left" w:pos="1260"/>
          <w:tab w:val="left" w:pos="1680"/>
          <w:tab w:val="left" w:pos="2100"/>
          <w:tab w:val="left" w:pos="2520"/>
        </w:tabs>
        <w:jc w:val="both"/>
        <w:outlineLvl w:val="0"/>
        <w:rPr>
          <w:rFonts w:ascii="Arial" w:hAnsi="Arial" w:eastAsia="宋体"/>
          <w:b/>
          <w:sz w:val="24"/>
          <w:lang w:val="en-GB" w:eastAsia="zh-CN"/>
        </w:rPr>
      </w:pPr>
      <w:r>
        <w:rPr>
          <w:rFonts w:hint="eastAsia" w:ascii="Arial" w:hAnsi="Arial" w:eastAsia="宋体" w:cs="Arial"/>
          <w:b/>
          <w:color w:val="auto"/>
          <w:sz w:val="24"/>
          <w:lang w:eastAsia="zh-CN"/>
        </w:rPr>
        <w:t xml:space="preserve">Electronic Meeting, </w:t>
      </w:r>
      <w:r>
        <w:rPr>
          <w:rFonts w:hint="eastAsia" w:ascii="Arial" w:hAnsi="Arial" w:eastAsia="宋体" w:cs="Arial"/>
          <w:b/>
          <w:color w:val="auto"/>
          <w:sz w:val="24"/>
          <w:lang w:val="en-US" w:eastAsia="zh-CN"/>
        </w:rPr>
        <w:t>August</w:t>
      </w:r>
      <w:r>
        <w:rPr>
          <w:rFonts w:hint="eastAsia" w:ascii="Arial" w:hAnsi="Arial" w:eastAsia="宋体" w:cs="Arial"/>
          <w:b/>
          <w:color w:val="auto"/>
          <w:sz w:val="24"/>
          <w:lang w:eastAsia="zh-CN"/>
        </w:rPr>
        <w:t xml:space="preserve"> </w:t>
      </w:r>
      <w:r>
        <w:rPr>
          <w:rFonts w:hint="eastAsia" w:ascii="Arial" w:hAnsi="Arial" w:eastAsia="宋体" w:cs="Arial"/>
          <w:b/>
          <w:color w:val="auto"/>
          <w:sz w:val="24"/>
          <w:lang w:val="en-US" w:eastAsia="zh-CN"/>
        </w:rPr>
        <w:t>15</w:t>
      </w:r>
      <w:r>
        <w:rPr>
          <w:rFonts w:hint="eastAsia" w:ascii="Arial" w:hAnsi="Arial" w:eastAsia="宋体" w:cs="Arial"/>
          <w:b/>
          <w:color w:val="auto"/>
          <w:sz w:val="24"/>
          <w:lang w:eastAsia="zh-CN"/>
        </w:rPr>
        <w:t xml:space="preserve"> – </w:t>
      </w:r>
      <w:r>
        <w:rPr>
          <w:rFonts w:hint="eastAsia" w:ascii="Arial" w:hAnsi="Arial" w:eastAsia="宋体" w:cs="Arial"/>
          <w:b/>
          <w:color w:val="auto"/>
          <w:sz w:val="24"/>
          <w:lang w:val="en-US" w:eastAsia="zh-CN"/>
        </w:rPr>
        <w:t>August</w:t>
      </w:r>
      <w:r>
        <w:rPr>
          <w:rFonts w:hint="eastAsia" w:ascii="Arial" w:hAnsi="Arial" w:eastAsia="宋体" w:cs="Arial"/>
          <w:b/>
          <w:color w:val="auto"/>
          <w:sz w:val="24"/>
          <w:lang w:eastAsia="zh-CN"/>
        </w:rPr>
        <w:t xml:space="preserve"> 2</w:t>
      </w:r>
      <w:r>
        <w:rPr>
          <w:rFonts w:hint="eastAsia" w:ascii="Arial" w:hAnsi="Arial" w:eastAsia="宋体" w:cs="Arial"/>
          <w:b/>
          <w:color w:val="auto"/>
          <w:sz w:val="24"/>
          <w:lang w:val="en-US" w:eastAsia="zh-CN"/>
        </w:rPr>
        <w:t>6</w:t>
      </w:r>
      <w:r>
        <w:rPr>
          <w:rFonts w:hint="eastAsia" w:ascii="Arial" w:hAnsi="Arial" w:eastAsia="宋体" w:cs="Arial"/>
          <w:b/>
          <w:color w:val="auto"/>
          <w:sz w:val="24"/>
          <w:lang w:eastAsia="zh-CN"/>
        </w:rPr>
        <w:t>, 2022</w:t>
      </w:r>
    </w:p>
    <w:p>
      <w:pPr>
        <w:pStyle w:val="14"/>
        <w:tabs>
          <w:tab w:val="left" w:pos="1800"/>
          <w:tab w:val="clear" w:pos="4536"/>
        </w:tabs>
        <w:spacing w:after="60"/>
        <w:ind w:left="1800" w:hanging="1800"/>
        <w:jc w:val="both"/>
        <w:outlineLvl w:val="0"/>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outlineLvl w:val="0"/>
        <w:rPr>
          <w:rFonts w:hint="default" w:ascii="Arial" w:hAnsi="Arial" w:eastAsia="MS Mincho"/>
          <w:b/>
          <w:sz w:val="24"/>
          <w:lang w:val="en-US" w:eastAsia="zh-CN"/>
        </w:rPr>
      </w:pPr>
      <w:r>
        <w:rPr>
          <w:rFonts w:ascii="Arial" w:hAnsi="Arial" w:eastAsia="MS Mincho"/>
          <w:b/>
          <w:sz w:val="24"/>
        </w:rPr>
        <w:t>Title:</w:t>
      </w:r>
      <w:r>
        <w:rPr>
          <w:rFonts w:hint="eastAsia" w:ascii="Arial" w:hAnsi="Arial" w:eastAsia="宋体"/>
          <w:b/>
          <w:sz w:val="24"/>
          <w:lang w:val="en-US" w:eastAsia="zh-CN"/>
        </w:rPr>
        <w:t xml:space="preserve">          Discussion on </w:t>
      </w:r>
      <w:r>
        <w:rPr>
          <w:rFonts w:hint="eastAsia" w:ascii="Arial" w:hAnsi="Arial" w:eastAsia="MS Mincho"/>
          <w:b/>
          <w:sz w:val="24"/>
          <w:lang w:val="en-US" w:eastAsia="zh-CN"/>
        </w:rPr>
        <w:t>FR2 UL 256qam results</w:t>
      </w:r>
    </w:p>
    <w:p>
      <w:pPr>
        <w:pStyle w:val="14"/>
        <w:tabs>
          <w:tab w:val="left" w:pos="1800"/>
          <w:tab w:val="left" w:pos="3825"/>
          <w:tab w:val="clear" w:pos="4536"/>
          <w:tab w:val="clear" w:pos="9072"/>
        </w:tabs>
        <w:spacing w:after="60"/>
        <w:jc w:val="both"/>
        <w:outlineLvl w:val="0"/>
        <w:rPr>
          <w:rFonts w:eastAsia="宋体"/>
          <w:sz w:val="24"/>
          <w:lang w:val="en-US" w:eastAsia="zh-CN"/>
        </w:rPr>
      </w:pPr>
      <w:r>
        <w:rPr>
          <w:sz w:val="24"/>
          <w:lang w:val="sv-SE"/>
        </w:rPr>
        <w:t>Agenda Item:</w:t>
      </w:r>
      <w:r>
        <w:rPr>
          <w:sz w:val="24"/>
          <w:lang w:val="sv-SE"/>
        </w:rPr>
        <w:tab/>
      </w:r>
      <w:r>
        <w:rPr>
          <w:rFonts w:hint="eastAsia" w:eastAsia="宋体"/>
          <w:color w:val="auto"/>
          <w:sz w:val="24"/>
          <w:lang w:val="en-US" w:eastAsia="zh-CN"/>
        </w:rPr>
        <w:t>11.7.2</w:t>
      </w:r>
    </w:p>
    <w:p>
      <w:pPr>
        <w:pStyle w:val="14"/>
        <w:tabs>
          <w:tab w:val="left" w:pos="1800"/>
        </w:tabs>
        <w:snapToGrid w:val="0"/>
        <w:spacing w:after="240"/>
        <w:jc w:val="both"/>
        <w:outlineLvl w:val="0"/>
        <w:rPr>
          <w:rFonts w:hint="default" w:eastAsia="宋体"/>
          <w:sz w:val="24"/>
          <w:lang w:val="en-US" w:eastAsia="zh-CN"/>
        </w:rPr>
      </w:pPr>
      <w:r>
        <w:rPr>
          <w:sz w:val="24"/>
        </w:rPr>
        <w:t>Document for:</w:t>
      </w:r>
      <w:r>
        <w:rPr>
          <w:sz w:val="24"/>
        </w:rPr>
        <w:tab/>
      </w:r>
      <w:r>
        <w:rPr>
          <w:rFonts w:hint="eastAsia"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rPr>
          <w:rFonts w:hint="eastAsia"/>
          <w:lang w:val="en-US" w:eastAsia="zh-CN"/>
        </w:rPr>
      </w:pPr>
      <w:r>
        <w:rPr>
          <w:rFonts w:hint="eastAsia"/>
          <w:lang w:val="en-US" w:eastAsia="zh-CN"/>
        </w:rPr>
        <w:t>In RAN 96 meeting, a new WID [1] for NR RF requirements enhancement for frequency range 2 (FR2), Phase 3 was approved, where for FR2 UL 256QAM, the objections are:</w:t>
      </w:r>
    </w:p>
    <w:p>
      <w:pPr>
        <w:spacing w:after="0"/>
        <w:rPr>
          <w:i/>
          <w:iCs/>
          <w:lang w:val="en-US"/>
        </w:rPr>
      </w:pPr>
      <w:r>
        <w:rPr>
          <w:rFonts w:hint="eastAsia"/>
          <w:b/>
          <w:bCs/>
          <w:i/>
          <w:iCs/>
          <w:lang w:val="en-US"/>
        </w:rPr>
        <w:t>UL 256QAM</w:t>
      </w:r>
    </w:p>
    <w:p>
      <w:pPr>
        <w:numPr>
          <w:ilvl w:val="0"/>
          <w:numId w:val="4"/>
        </w:numPr>
        <w:spacing w:after="0"/>
        <w:rPr>
          <w:i/>
          <w:iCs/>
          <w:lang w:val="en-US"/>
        </w:rPr>
      </w:pPr>
      <w:r>
        <w:rPr>
          <w:rFonts w:hint="eastAsia"/>
          <w:i/>
          <w:iCs/>
          <w:lang w:val="en-US"/>
        </w:rPr>
        <w:t>Investigate and enable UL 256QAM for FR2</w:t>
      </w:r>
      <w:r>
        <w:rPr>
          <w:i/>
          <w:iCs/>
          <w:lang w:val="en-US"/>
        </w:rPr>
        <w:t>-1</w:t>
      </w:r>
      <w:r>
        <w:rPr>
          <w:rFonts w:hint="eastAsia"/>
          <w:i/>
          <w:iCs/>
          <w:lang w:val="en-US"/>
        </w:rPr>
        <w:t xml:space="preserve"> </w:t>
      </w:r>
      <w:r>
        <w:rPr>
          <w:i/>
          <w:iCs/>
          <w:lang w:val="en-US"/>
        </w:rPr>
        <w:t>[</w:t>
      </w:r>
      <w:r>
        <w:rPr>
          <w:rFonts w:hint="eastAsia"/>
          <w:i/>
          <w:iCs/>
          <w:lang w:val="en-US"/>
        </w:rPr>
        <w:t>RAN4</w:t>
      </w:r>
      <w:r>
        <w:rPr>
          <w:i/>
          <w:iCs/>
          <w:lang w:val="en-US"/>
        </w:rPr>
        <w:t>]</w:t>
      </w:r>
    </w:p>
    <w:p>
      <w:pPr>
        <w:numPr>
          <w:ilvl w:val="1"/>
          <w:numId w:val="4"/>
        </w:numPr>
        <w:spacing w:after="0"/>
        <w:rPr>
          <w:i/>
          <w:iCs/>
          <w:lang w:val="en-US"/>
        </w:rPr>
      </w:pPr>
      <w:r>
        <w:rPr>
          <w:rFonts w:hint="eastAsia"/>
          <w:i/>
          <w:iCs/>
          <w:lang w:val="en-US"/>
        </w:rPr>
        <w:t>Study the gain, operating SNR, phase noise model and implementation aspects</w:t>
      </w:r>
    </w:p>
    <w:p>
      <w:pPr>
        <w:numPr>
          <w:ilvl w:val="1"/>
          <w:numId w:val="4"/>
        </w:numPr>
        <w:spacing w:after="0"/>
        <w:rPr>
          <w:i/>
          <w:iCs/>
          <w:lang w:val="en-US"/>
        </w:rPr>
      </w:pPr>
      <w:r>
        <w:rPr>
          <w:rFonts w:hint="eastAsia"/>
          <w:i/>
          <w:iCs/>
          <w:lang w:val="en-US"/>
        </w:rPr>
        <w:t>Specify the UE RF requirements</w:t>
      </w:r>
    </w:p>
    <w:p>
      <w:pPr>
        <w:numPr>
          <w:ilvl w:val="1"/>
          <w:numId w:val="4"/>
        </w:numPr>
        <w:spacing w:after="0"/>
        <w:rPr>
          <w:i/>
          <w:iCs/>
          <w:lang w:val="en-US"/>
        </w:rPr>
      </w:pPr>
      <w:r>
        <w:rPr>
          <w:i/>
          <w:iCs/>
          <w:lang w:val="en-US"/>
        </w:rPr>
        <w:t xml:space="preserve">First priority: </w:t>
      </w:r>
      <w:r>
        <w:rPr>
          <w:rFonts w:hint="eastAsia"/>
          <w:i/>
          <w:iCs/>
          <w:lang w:val="en-US"/>
        </w:rPr>
        <w:t>Targeted power classes are PC1</w:t>
      </w:r>
      <w:r>
        <w:rPr>
          <w:i/>
          <w:iCs/>
          <w:lang w:val="en-US"/>
        </w:rPr>
        <w:t>, PC2</w:t>
      </w:r>
      <w:r>
        <w:rPr>
          <w:rFonts w:hint="eastAsia"/>
          <w:i/>
          <w:iCs/>
          <w:lang w:val="en-US"/>
        </w:rPr>
        <w:t xml:space="preserve"> and PC5 </w:t>
      </w:r>
    </w:p>
    <w:p>
      <w:pPr>
        <w:numPr>
          <w:ilvl w:val="1"/>
          <w:numId w:val="4"/>
        </w:numPr>
        <w:spacing w:after="0"/>
        <w:rPr>
          <w:i/>
          <w:iCs/>
          <w:lang w:val="en-US"/>
        </w:rPr>
      </w:pPr>
      <w:r>
        <w:rPr>
          <w:i/>
          <w:iCs/>
          <w:lang w:val="en-US"/>
        </w:rPr>
        <w:t xml:space="preserve">Second priority: </w:t>
      </w:r>
      <w:r>
        <w:rPr>
          <w:rFonts w:hint="eastAsia"/>
          <w:i/>
          <w:iCs/>
          <w:lang w:val="en-US"/>
        </w:rPr>
        <w:t xml:space="preserve">Targeted power class </w:t>
      </w:r>
      <w:r>
        <w:rPr>
          <w:i/>
          <w:iCs/>
          <w:lang w:val="en-US"/>
        </w:rPr>
        <w:t>is</w:t>
      </w:r>
      <w:r>
        <w:rPr>
          <w:rFonts w:hint="eastAsia"/>
          <w:i/>
          <w:iCs/>
          <w:lang w:val="en-US"/>
        </w:rPr>
        <w:t xml:space="preserve"> PC</w:t>
      </w:r>
      <w:r>
        <w:rPr>
          <w:i/>
          <w:iCs/>
          <w:lang w:val="en-US"/>
        </w:rPr>
        <w:t>3</w:t>
      </w:r>
      <w:r>
        <w:rPr>
          <w:rFonts w:hint="eastAsia"/>
          <w:i/>
          <w:iCs/>
          <w:lang w:val="en-US"/>
        </w:rPr>
        <w:t xml:space="preserve"> </w:t>
      </w:r>
    </w:p>
    <w:p>
      <w:pPr>
        <w:pStyle w:val="4"/>
        <w:tabs>
          <w:tab w:val="left" w:pos="226"/>
          <w:tab w:val="left" w:pos="284"/>
          <w:tab w:val="left" w:pos="5103"/>
        </w:tabs>
        <w:snapToGrid w:val="0"/>
        <w:spacing w:beforeLines="50"/>
        <w:rPr>
          <w:rFonts w:hint="default" w:eastAsia="宋体"/>
          <w:szCs w:val="20"/>
          <w:lang w:val="en-US" w:eastAsia="zh-CN"/>
        </w:rPr>
      </w:pPr>
      <w:r>
        <w:rPr>
          <w:rFonts w:hint="eastAsia" w:eastAsia="宋体" w:cs="Times New Roman"/>
          <w:szCs w:val="20"/>
          <w:lang w:val="en-US" w:eastAsia="zh-CN" w:bidi="ar-SA"/>
        </w:rPr>
        <w:t xml:space="preserve">In this contribution, we provide some initial link level simulation results for </w:t>
      </w:r>
      <w:r>
        <w:rPr>
          <w:rFonts w:hint="eastAsia" w:eastAsia="宋体"/>
          <w:szCs w:val="20"/>
          <w:lang w:val="en-US" w:eastAsia="zh-CN"/>
        </w:rPr>
        <w:t xml:space="preserve">CP-OFDM waveform </w:t>
      </w:r>
      <w:r>
        <w:rPr>
          <w:rFonts w:hint="eastAsia" w:eastAsia="宋体" w:cs="Times New Roman"/>
          <w:szCs w:val="20"/>
          <w:lang w:val="en-US" w:eastAsia="zh-CN" w:bidi="ar-SA"/>
        </w:rPr>
        <w:t>to study the gain, operating SNR for 256QAM.</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Simulation assumptions and results</w:t>
      </w:r>
    </w:p>
    <w:p>
      <w:pPr>
        <w:tabs>
          <w:tab w:val="left" w:pos="0"/>
        </w:tabs>
        <w:spacing w:before="60" w:after="60"/>
        <w:jc w:val="both"/>
        <w:rPr>
          <w:rFonts w:hint="eastAsia" w:eastAsia="宋体"/>
          <w:lang w:val="en-US" w:eastAsia="zh-CN" w:bidi="hi-IN"/>
        </w:rPr>
      </w:pPr>
      <w:r>
        <w:rPr>
          <w:rFonts w:hint="eastAsia" w:eastAsia="宋体"/>
          <w:lang w:val="en-US" w:eastAsia="zh-CN" w:bidi="hi-IN"/>
        </w:rPr>
        <w:t>To study the gain and operating SNR, we compare 256QAM with 64QAM with the same</w:t>
      </w:r>
      <w:r>
        <w:rPr>
          <w:lang w:eastAsia="ja-JP" w:bidi="hi-IN"/>
        </w:rPr>
        <w:t xml:space="preserve"> simulation assumptions </w:t>
      </w:r>
      <w:r>
        <w:rPr>
          <w:rFonts w:hint="eastAsia" w:eastAsia="宋体"/>
          <w:lang w:val="en-US" w:eastAsia="zh-CN" w:bidi="hi-IN"/>
        </w:rPr>
        <w:t xml:space="preserve">in </w:t>
      </w:r>
      <w:r>
        <w:rPr>
          <w:lang w:eastAsia="ja-JP" w:bidi="hi-IN"/>
        </w:rPr>
        <w:t>link level simulation</w:t>
      </w:r>
      <w:r>
        <w:rPr>
          <w:rFonts w:hint="eastAsia" w:eastAsia="宋体"/>
          <w:lang w:val="en-US" w:eastAsia="zh-CN" w:bidi="hi-IN"/>
        </w:rPr>
        <w:t>, which is shown in table 1.</w:t>
      </w:r>
    </w:p>
    <w:p>
      <w:pPr>
        <w:tabs>
          <w:tab w:val="left" w:pos="0"/>
        </w:tabs>
        <w:spacing w:before="60" w:after="60"/>
        <w:jc w:val="center"/>
        <w:rPr>
          <w:rFonts w:hint="default" w:eastAsia="宋体"/>
          <w:lang w:val="en-US" w:eastAsia="zh-CN" w:bidi="hi-IN"/>
        </w:rPr>
      </w:pPr>
      <w:r>
        <w:rPr>
          <w:rFonts w:hint="eastAsia"/>
          <w:b/>
          <w:szCs w:val="21"/>
          <w:lang w:val="zh-CN"/>
        </w:rPr>
        <w:t xml:space="preserve">Table 1 Simulation assumptions for </w:t>
      </w:r>
      <w:r>
        <w:rPr>
          <w:rFonts w:hint="eastAsia" w:eastAsia="宋体"/>
          <w:b/>
          <w:szCs w:val="21"/>
          <w:lang w:val="en-US" w:eastAsia="zh-CN"/>
        </w:rPr>
        <w:t>FR2 UL 256QAM and 64QAM</w:t>
      </w:r>
    </w:p>
    <w:tbl>
      <w:tblPr>
        <w:tblStyle w:val="17"/>
        <w:tblW w:w="9444" w:type="dxa"/>
        <w:tblInd w:w="0" w:type="dxa"/>
        <w:tblLayout w:type="autofit"/>
        <w:tblCellMar>
          <w:top w:w="0" w:type="dxa"/>
          <w:left w:w="0" w:type="dxa"/>
          <w:bottom w:w="0" w:type="dxa"/>
          <w:right w:w="0" w:type="dxa"/>
        </w:tblCellMar>
      </w:tblPr>
      <w:tblGrid>
        <w:gridCol w:w="2073"/>
        <w:gridCol w:w="3685"/>
        <w:gridCol w:w="3686"/>
      </w:tblGrid>
      <w:tr>
        <w:tblPrEx>
          <w:tblCellMar>
            <w:top w:w="0" w:type="dxa"/>
            <w:left w:w="0" w:type="dxa"/>
            <w:bottom w:w="0" w:type="dxa"/>
            <w:right w:w="0" w:type="dxa"/>
          </w:tblCellMar>
        </w:tblPrEx>
        <w:trPr>
          <w:trHeight w:val="278"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6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b/>
                <w:bCs/>
                <w:color w:val="000000"/>
                <w:kern w:val="24"/>
                <w:sz w:val="21"/>
                <w:szCs w:val="21"/>
                <w:lang w:val="fi-FI" w:eastAsia="zh-CN"/>
              </w:rPr>
              <w:t xml:space="preserve">Parameter </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6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b/>
                <w:bCs/>
                <w:color w:val="000000"/>
                <w:kern w:val="24"/>
                <w:sz w:val="21"/>
                <w:szCs w:val="21"/>
                <w:lang w:val="fi-FI" w:eastAsia="zh-CN"/>
              </w:rPr>
              <w:t xml:space="preserve">Value </w:t>
            </w:r>
          </w:p>
        </w:tc>
      </w:tr>
      <w:tr>
        <w:tblPrEx>
          <w:tblCellMar>
            <w:top w:w="0" w:type="dxa"/>
            <w:left w:w="0" w:type="dxa"/>
            <w:bottom w:w="0" w:type="dxa"/>
            <w:right w:w="0" w:type="dxa"/>
          </w:tblCellMar>
        </w:tblPrEx>
        <w:trPr>
          <w:trHeight w:val="278"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Carrier frequency</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val="en-US" w:eastAsia="zh-CN"/>
              </w:rPr>
              <w:t>30</w:t>
            </w:r>
            <w:r>
              <w:rPr>
                <w:rFonts w:hint="default" w:ascii="Times New Roman" w:hAnsi="Times New Roman" w:eastAsia="Arial Unicode MS" w:cs="Times New Roman"/>
                <w:color w:val="000000"/>
                <w:kern w:val="24"/>
                <w:sz w:val="21"/>
                <w:szCs w:val="21"/>
                <w:lang w:val="pt-BR" w:eastAsia="zh-CN"/>
              </w:rPr>
              <w:t xml:space="preserve"> GHz </w:t>
            </w:r>
          </w:p>
        </w:tc>
      </w:tr>
      <w:tr>
        <w:tblPrEx>
          <w:tblCellMar>
            <w:top w:w="0" w:type="dxa"/>
            <w:left w:w="0" w:type="dxa"/>
            <w:bottom w:w="0" w:type="dxa"/>
            <w:right w:w="0" w:type="dxa"/>
          </w:tblCellMar>
        </w:tblPrEx>
        <w:trPr>
          <w:trHeight w:val="278"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CBW</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val="en-US" w:eastAsia="zh-CN"/>
              </w:rPr>
              <w:t>10</w:t>
            </w:r>
            <w:r>
              <w:rPr>
                <w:rFonts w:hint="default" w:ascii="Times New Roman" w:hAnsi="Times New Roman" w:eastAsia="Arial Unicode MS" w:cs="Times New Roman"/>
                <w:color w:val="000000"/>
                <w:kern w:val="24"/>
                <w:sz w:val="21"/>
                <w:szCs w:val="21"/>
                <w:lang w:eastAsia="zh-CN"/>
              </w:rPr>
              <w:t>0 MHz</w:t>
            </w:r>
          </w:p>
        </w:tc>
      </w:tr>
      <w:tr>
        <w:tblPrEx>
          <w:tblCellMar>
            <w:top w:w="0" w:type="dxa"/>
            <w:left w:w="0" w:type="dxa"/>
            <w:bottom w:w="0" w:type="dxa"/>
            <w:right w:w="0" w:type="dxa"/>
          </w:tblCellMar>
        </w:tblPrEx>
        <w:trPr>
          <w:trHeight w:val="278"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SCS</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cs="Times New Roman"/>
                <w:color w:val="000000"/>
                <w:kern w:val="24"/>
                <w:sz w:val="21"/>
                <w:szCs w:val="21"/>
                <w:lang w:val="en-US" w:eastAsia="zh-CN"/>
              </w:rPr>
              <w:t>120kHz</w:t>
            </w:r>
            <w:r>
              <w:rPr>
                <w:rFonts w:hint="default" w:ascii="Times New Roman" w:hAnsi="Times New Roman" w:eastAsia="Arial Unicode MS" w:cs="Times New Roman"/>
                <w:color w:val="000000"/>
                <w:kern w:val="24"/>
                <w:sz w:val="21"/>
                <w:szCs w:val="21"/>
                <w:lang w:eastAsia="zh-CN"/>
              </w:rPr>
              <w:t xml:space="preserve"> </w:t>
            </w:r>
          </w:p>
        </w:tc>
      </w:tr>
      <w:tr>
        <w:tblPrEx>
          <w:tblCellMar>
            <w:top w:w="0" w:type="dxa"/>
            <w:left w:w="0" w:type="dxa"/>
            <w:bottom w:w="0" w:type="dxa"/>
            <w:right w:w="0" w:type="dxa"/>
          </w:tblCellMar>
        </w:tblPrEx>
        <w:trPr>
          <w:trHeight w:val="278"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Allocated RBs</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val="en-US" w:eastAsia="zh-CN"/>
              </w:rPr>
              <w:t>Full allocation</w:t>
            </w:r>
          </w:p>
        </w:tc>
      </w:tr>
      <w:tr>
        <w:tblPrEx>
          <w:tblCellMar>
            <w:top w:w="0" w:type="dxa"/>
            <w:left w:w="0" w:type="dxa"/>
            <w:bottom w:w="0" w:type="dxa"/>
            <w:right w:w="0" w:type="dxa"/>
          </w:tblCellMar>
        </w:tblPrEx>
        <w:trPr>
          <w:trHeight w:val="834"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Propagation</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Arial Unicode MS" w:cs="Times New Roman"/>
                <w:color w:val="000000"/>
                <w:kern w:val="24"/>
                <w:sz w:val="21"/>
                <w:szCs w:val="21"/>
                <w:lang w:eastAsia="zh-CN"/>
              </w:rPr>
            </w:pPr>
            <w:r>
              <w:rPr>
                <w:rFonts w:hint="default" w:ascii="Times New Roman" w:hAnsi="Times New Roman" w:eastAsia="Arial Unicode MS" w:cs="Times New Roman"/>
                <w:color w:val="000000"/>
                <w:kern w:val="24"/>
                <w:sz w:val="21"/>
                <w:szCs w:val="21"/>
                <w:lang w:eastAsia="zh-CN"/>
              </w:rPr>
              <w:t>TDL-A 30ns delay spread,</w:t>
            </w:r>
            <w:r>
              <w:rPr>
                <w:rFonts w:hint="default" w:ascii="Times New Roman" w:hAnsi="Times New Roman" w:eastAsia="Arial Unicode MS" w:cs="Times New Roman"/>
                <w:color w:val="000000"/>
                <w:kern w:val="24"/>
                <w:sz w:val="21"/>
                <w:szCs w:val="21"/>
                <w:lang w:val="en-US" w:eastAsia="zh-CN"/>
              </w:rPr>
              <w:t xml:space="preserve"> 3kmph</w:t>
            </w:r>
          </w:p>
          <w:p>
            <w:pPr>
              <w:spacing w:after="0"/>
              <w:jc w:val="both"/>
              <w:rPr>
                <w:rFonts w:hint="default" w:ascii="Times New Roman" w:hAnsi="Times New Roman" w:eastAsia="Arial Unicode MS" w:cs="Times New Roman"/>
                <w:color w:val="000000"/>
                <w:kern w:val="24"/>
                <w:sz w:val="21"/>
                <w:szCs w:val="21"/>
                <w:lang w:val="en-US" w:eastAsia="zh-CN"/>
              </w:rPr>
            </w:pPr>
            <w:r>
              <w:rPr>
                <w:rFonts w:hint="default" w:ascii="Times New Roman" w:hAnsi="Times New Roman" w:eastAsia="Arial Unicode MS" w:cs="Times New Roman"/>
                <w:color w:val="000000"/>
                <w:kern w:val="24"/>
                <w:sz w:val="21"/>
                <w:szCs w:val="21"/>
                <w:lang w:eastAsia="zh-CN"/>
              </w:rPr>
              <w:t>TDL-</w:t>
            </w:r>
            <w:r>
              <w:rPr>
                <w:rFonts w:hint="default" w:ascii="Times New Roman" w:hAnsi="Times New Roman" w:eastAsia="Arial Unicode MS" w:cs="Times New Roman"/>
                <w:color w:val="000000"/>
                <w:kern w:val="24"/>
                <w:sz w:val="21"/>
                <w:szCs w:val="21"/>
                <w:lang w:val="en-US" w:eastAsia="zh-CN"/>
              </w:rPr>
              <w:t>D</w:t>
            </w:r>
            <w:r>
              <w:rPr>
                <w:rFonts w:hint="default" w:ascii="Times New Roman" w:hAnsi="Times New Roman" w:eastAsia="Arial Unicode MS" w:cs="Times New Roman"/>
                <w:color w:val="000000"/>
                <w:kern w:val="24"/>
                <w:sz w:val="21"/>
                <w:szCs w:val="21"/>
                <w:lang w:eastAsia="zh-CN"/>
              </w:rPr>
              <w:t xml:space="preserve"> 30ns delay spread,</w:t>
            </w:r>
            <w:r>
              <w:rPr>
                <w:rFonts w:hint="default" w:ascii="Times New Roman" w:hAnsi="Times New Roman" w:eastAsia="Arial Unicode MS" w:cs="Times New Roman"/>
                <w:color w:val="000000"/>
                <w:kern w:val="24"/>
                <w:sz w:val="21"/>
                <w:szCs w:val="21"/>
                <w:lang w:val="en-US" w:eastAsia="zh-CN"/>
              </w:rPr>
              <w:t xml:space="preserve"> 3kmph</w:t>
            </w:r>
          </w:p>
          <w:p>
            <w:pPr>
              <w:spacing w:after="0"/>
              <w:jc w:val="both"/>
              <w:rPr>
                <w:rFonts w:hint="default" w:ascii="Times New Roman" w:hAnsi="Times New Roman" w:eastAsia="Arial Unicode MS" w:cs="Times New Roman"/>
                <w:color w:val="000000"/>
                <w:kern w:val="24"/>
                <w:sz w:val="21"/>
                <w:szCs w:val="21"/>
                <w:lang w:val="en-US" w:eastAsia="zh-CN"/>
              </w:rPr>
            </w:pPr>
            <w:r>
              <w:rPr>
                <w:rFonts w:hint="eastAsia" w:eastAsia="Arial Unicode MS" w:cs="Times New Roman"/>
                <w:color w:val="000000"/>
                <w:kern w:val="24"/>
                <w:sz w:val="21"/>
                <w:szCs w:val="21"/>
                <w:lang w:val="en-US" w:eastAsia="zh-CN"/>
              </w:rPr>
              <w:t>AWGN</w:t>
            </w:r>
          </w:p>
        </w:tc>
      </w:tr>
      <w:tr>
        <w:tblPrEx>
          <w:tblCellMar>
            <w:top w:w="0" w:type="dxa"/>
            <w:left w:w="0" w:type="dxa"/>
            <w:bottom w:w="0" w:type="dxa"/>
            <w:right w:w="0" w:type="dxa"/>
          </w:tblCellMar>
        </w:tblPrEx>
        <w:trPr>
          <w:trHeight w:val="834"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MCS</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jc w:val="both"/>
              <w:rPr>
                <w:rFonts w:hint="default" w:ascii="Times New Roman" w:hAnsi="Times New Roman" w:cs="Times New Roman"/>
                <w:color w:val="000000"/>
                <w:kern w:val="2"/>
                <w:sz w:val="21"/>
                <w:szCs w:val="21"/>
                <w:lang w:val="en-US" w:eastAsia="zh-CN"/>
              </w:rPr>
            </w:pPr>
            <w:r>
              <w:rPr>
                <w:rFonts w:hint="default" w:ascii="Times New Roman" w:hAnsi="Times New Roman" w:cs="Times New Roman"/>
                <w:color w:val="000000"/>
                <w:kern w:val="2"/>
                <w:sz w:val="21"/>
                <w:szCs w:val="21"/>
                <w:lang w:val="en-US" w:eastAsia="zh-CN"/>
              </w:rPr>
              <w:t>64QAM: MCS 23 in TS 38.214 Table 5.1.3.1-1.</w:t>
            </w:r>
          </w:p>
          <w:p>
            <w:pPr>
              <w:spacing w:after="0"/>
              <w:jc w:val="both"/>
              <w:rPr>
                <w:rFonts w:hint="default" w:ascii="Times New Roman" w:hAnsi="Times New Roman" w:cs="Times New Roman"/>
                <w:sz w:val="21"/>
                <w:szCs w:val="21"/>
                <w:lang w:val="en-US" w:eastAsia="zh-CN"/>
              </w:rPr>
            </w:pPr>
            <w:r>
              <w:rPr>
                <w:rFonts w:hint="default" w:ascii="Times New Roman" w:hAnsi="Times New Roman" w:cs="Times New Roman"/>
                <w:color w:val="000000"/>
                <w:kern w:val="2"/>
                <w:sz w:val="21"/>
                <w:szCs w:val="21"/>
                <w:lang w:val="en-US" w:eastAsia="zh-CN"/>
              </w:rPr>
              <w:t>256QAM: MCS 21 in TS 38.214 Table 5.1.3.1-2.</w:t>
            </w:r>
          </w:p>
          <w:p>
            <w:pPr>
              <w:spacing w:after="0"/>
              <w:jc w:val="both"/>
              <w:rPr>
                <w:rFonts w:hint="default" w:ascii="Times New Roman" w:hAnsi="Times New Roman" w:cs="Times New Roman"/>
                <w:sz w:val="21"/>
                <w:szCs w:val="21"/>
                <w:lang w:val="en-US" w:eastAsia="zh-CN"/>
              </w:rPr>
            </w:pPr>
            <w:r>
              <w:rPr>
                <w:rFonts w:hint="default" w:ascii="Times New Roman" w:hAnsi="Times New Roman" w:cs="Times New Roman"/>
                <w:color w:val="000000"/>
                <w:kern w:val="2"/>
                <w:sz w:val="21"/>
                <w:szCs w:val="21"/>
                <w:lang w:val="fi-FI" w:eastAsia="zh-CN"/>
              </w:rPr>
              <w:t>Baseline: fixed MCSs.</w:t>
            </w:r>
          </w:p>
        </w:tc>
      </w:tr>
      <w:tr>
        <w:tblPrEx>
          <w:tblCellMar>
            <w:top w:w="0" w:type="dxa"/>
            <w:left w:w="0" w:type="dxa"/>
            <w:bottom w:w="0" w:type="dxa"/>
            <w:right w:w="0" w:type="dxa"/>
          </w:tblCellMar>
        </w:tblPrEx>
        <w:trPr>
          <w:trHeight w:val="278"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 xml:space="preserve">Symbol type </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Arial Unicode MS" w:cs="Times New Roman"/>
                <w:color w:val="000000"/>
                <w:kern w:val="24"/>
                <w:sz w:val="21"/>
                <w:szCs w:val="21"/>
                <w:lang w:eastAsia="zh-CN"/>
              </w:rPr>
            </w:pPr>
            <w:r>
              <w:rPr>
                <w:rFonts w:hint="default" w:ascii="Times New Roman" w:hAnsi="Times New Roman" w:eastAsia="Arial Unicode MS" w:cs="Times New Roman"/>
                <w:color w:val="000000"/>
                <w:kern w:val="24"/>
                <w:sz w:val="21"/>
                <w:szCs w:val="21"/>
                <w:lang w:eastAsia="zh-CN"/>
              </w:rPr>
              <w:t>CP-OFDM</w:t>
            </w:r>
          </w:p>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val="en-US" w:eastAsia="zh-CN"/>
              </w:rPr>
              <w:t>DFT-S-OFDM</w:t>
            </w:r>
          </w:p>
        </w:tc>
      </w:tr>
      <w:tr>
        <w:tblPrEx>
          <w:tblCellMar>
            <w:top w:w="0" w:type="dxa"/>
            <w:left w:w="0" w:type="dxa"/>
            <w:bottom w:w="0" w:type="dxa"/>
            <w:right w:w="0" w:type="dxa"/>
          </w:tblCellMar>
        </w:tblPrEx>
        <w:trPr>
          <w:trHeight w:val="278"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 xml:space="preserve">HARQ </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cs="Times New Roman"/>
                <w:color w:val="000000"/>
                <w:kern w:val="2"/>
                <w:sz w:val="21"/>
                <w:szCs w:val="21"/>
                <w:lang w:eastAsia="zh-CN"/>
              </w:rPr>
              <w:t xml:space="preserve">None </w:t>
            </w:r>
          </w:p>
        </w:tc>
      </w:tr>
      <w:tr>
        <w:tblPrEx>
          <w:tblCellMar>
            <w:top w:w="0" w:type="dxa"/>
            <w:left w:w="0" w:type="dxa"/>
            <w:bottom w:w="0" w:type="dxa"/>
            <w:right w:w="0" w:type="dxa"/>
          </w:tblCellMar>
        </w:tblPrEx>
        <w:trPr>
          <w:trHeight w:val="540"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0" w:line="280" w:lineRule="exac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Antenna configuration</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spacing w:after="0" w:line="280" w:lineRule="exact"/>
              <w:jc w:val="both"/>
              <w:rPr>
                <w:rFonts w:hint="default" w:ascii="Times New Roman" w:hAnsi="Times New Roman" w:eastAsia="Arial Unicode MS" w:cs="Times New Roman"/>
                <w:color w:val="000000"/>
                <w:kern w:val="24"/>
                <w:sz w:val="21"/>
                <w:szCs w:val="21"/>
                <w:lang w:eastAsia="zh-CN"/>
              </w:rPr>
            </w:pPr>
            <w:r>
              <w:rPr>
                <w:rFonts w:hint="default" w:ascii="Times New Roman" w:hAnsi="Times New Roman" w:eastAsia="Arial Unicode MS" w:cs="Times New Roman"/>
                <w:color w:val="000000"/>
                <w:kern w:val="24"/>
                <w:sz w:val="21"/>
                <w:szCs w:val="21"/>
                <w:lang w:eastAsia="zh-CN"/>
              </w:rPr>
              <w:t>Fading channel: 2x2 for Rank1, Low correlation</w:t>
            </w:r>
          </w:p>
          <w:p>
            <w:pPr>
              <w:spacing w:after="0" w:line="280" w:lineRule="exact"/>
              <w:jc w:val="both"/>
              <w:rPr>
                <w:rFonts w:hint="default" w:ascii="Times New Roman" w:hAnsi="Times New Roman" w:eastAsia="Arial Unicode MS" w:cs="Times New Roman"/>
                <w:color w:val="000000"/>
                <w:kern w:val="24"/>
                <w:sz w:val="21"/>
                <w:szCs w:val="21"/>
                <w:lang w:val="en-US" w:eastAsia="zh-CN"/>
              </w:rPr>
            </w:pPr>
            <w:r>
              <w:rPr>
                <w:rFonts w:hint="eastAsia" w:eastAsia="Arial Unicode MS" w:cs="Times New Roman"/>
                <w:color w:val="000000"/>
                <w:kern w:val="24"/>
                <w:sz w:val="21"/>
                <w:szCs w:val="21"/>
                <w:lang w:val="en-US" w:eastAsia="zh-CN"/>
              </w:rPr>
              <w:t>AWGN:</w:t>
            </w:r>
            <w:r>
              <w:rPr>
                <w:rFonts w:hint="default" w:ascii="Times New Roman" w:hAnsi="Times New Roman" w:eastAsia="Arial Unicode MS" w:cs="Times New Roman"/>
                <w:color w:val="000000"/>
                <w:kern w:val="24"/>
                <w:sz w:val="21"/>
                <w:szCs w:val="21"/>
                <w:lang w:eastAsia="zh-CN"/>
              </w:rPr>
              <w:t xml:space="preserve"> 2x2 for Rank1</w:t>
            </w:r>
          </w:p>
        </w:tc>
      </w:tr>
      <w:tr>
        <w:tblPrEx>
          <w:tblCellMar>
            <w:top w:w="0" w:type="dxa"/>
            <w:left w:w="0" w:type="dxa"/>
            <w:bottom w:w="0" w:type="dxa"/>
            <w:right w:w="0" w:type="dxa"/>
          </w:tblCellMar>
        </w:tblPrEx>
        <w:trPr>
          <w:trHeight w:val="278"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val="fi-FI" w:eastAsia="zh-CN"/>
              </w:rPr>
              <w:t xml:space="preserve">Channel estimation </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val="fi-FI" w:eastAsia="zh-CN"/>
              </w:rPr>
              <w:t xml:space="preserve">Practical </w:t>
            </w:r>
          </w:p>
        </w:tc>
      </w:tr>
      <w:tr>
        <w:tblPrEx>
          <w:tblCellMar>
            <w:top w:w="0" w:type="dxa"/>
            <w:left w:w="0" w:type="dxa"/>
            <w:bottom w:w="0" w:type="dxa"/>
            <w:right w:w="0" w:type="dxa"/>
          </w:tblCellMar>
        </w:tblPrEx>
        <w:trPr>
          <w:trHeight w:val="278"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Receiver type</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MMSE</w:t>
            </w:r>
          </w:p>
        </w:tc>
      </w:tr>
      <w:tr>
        <w:tblPrEx>
          <w:tblCellMar>
            <w:top w:w="0" w:type="dxa"/>
            <w:left w:w="0" w:type="dxa"/>
            <w:bottom w:w="0" w:type="dxa"/>
            <w:right w:w="0" w:type="dxa"/>
          </w:tblCellMar>
        </w:tblPrEx>
        <w:trPr>
          <w:trHeight w:val="139" w:hRule="atLeast"/>
        </w:trPr>
        <w:tc>
          <w:tcPr>
            <w:tcW w:w="2073" w:type="dxa"/>
            <w:vMerge w:val="restart"/>
            <w:tcBorders>
              <w:top w:val="single" w:color="000000" w:sz="8" w:space="0"/>
              <w:left w:val="single" w:color="000000" w:sz="8" w:space="0"/>
              <w:right w:val="single" w:color="000000" w:sz="8" w:space="0"/>
            </w:tcBorders>
            <w:shd w:val="clear" w:color="auto" w:fill="auto"/>
            <w:tcMar>
              <w:top w:w="15" w:type="dxa"/>
              <w:left w:w="108" w:type="dxa"/>
              <w:bottom w:w="0" w:type="dxa"/>
              <w:right w:w="108" w:type="dxa"/>
            </w:tcMar>
            <w:vAlign w:val="center"/>
          </w:tcPr>
          <w:p>
            <w:pPr>
              <w:spacing w:after="0" w:line="270"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PUSCH Time domain configuration</w:t>
            </w:r>
          </w:p>
        </w:tc>
        <w:tc>
          <w:tcPr>
            <w:tcW w:w="368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pStyle w:val="36"/>
              <w:rPr>
                <w:rFonts w:hint="default" w:ascii="Times New Roman" w:hAnsi="Times New Roman" w:cs="Times New Roman"/>
              </w:rPr>
            </w:pPr>
            <w:r>
              <w:rPr>
                <w:rFonts w:hint="default" w:ascii="Times New Roman" w:hAnsi="Times New Roman" w:eastAsia="Batang" w:cs="Times New Roman"/>
              </w:rPr>
              <w:t>PUSCH mapping type</w:t>
            </w:r>
          </w:p>
        </w:tc>
        <w:tc>
          <w:tcPr>
            <w:tcW w:w="3686" w:type="dxa"/>
            <w:tcBorders>
              <w:top w:val="single" w:color="000000" w:sz="8" w:space="0"/>
              <w:left w:val="single" w:color="000000" w:sz="8" w:space="0"/>
              <w:bottom w:val="single" w:color="000000" w:sz="8" w:space="0"/>
              <w:right w:val="single" w:color="000000" w:sz="8" w:space="0"/>
            </w:tcBorders>
            <w:shd w:val="clear" w:color="auto" w:fill="auto"/>
          </w:tcPr>
          <w:p>
            <w:pPr>
              <w:pStyle w:val="35"/>
              <w:rPr>
                <w:rFonts w:hint="default" w:ascii="Times New Roman" w:hAnsi="Times New Roman" w:cs="Times New Roman"/>
              </w:rPr>
            </w:pPr>
            <w:r>
              <w:rPr>
                <w:rFonts w:hint="default" w:ascii="Times New Roman" w:hAnsi="Times New Roman" w:cs="Times New Roman"/>
              </w:rPr>
              <w:t>A</w:t>
            </w:r>
          </w:p>
        </w:tc>
      </w:tr>
      <w:tr>
        <w:tblPrEx>
          <w:tblCellMar>
            <w:top w:w="0" w:type="dxa"/>
            <w:left w:w="0" w:type="dxa"/>
            <w:bottom w:w="0" w:type="dxa"/>
            <w:right w:w="0" w:type="dxa"/>
          </w:tblCellMar>
        </w:tblPrEx>
        <w:trPr>
          <w:trHeight w:val="137" w:hRule="atLeast"/>
        </w:trPr>
        <w:tc>
          <w:tcPr>
            <w:tcW w:w="2073" w:type="dxa"/>
            <w:vMerge w:val="continue"/>
            <w:tcBorders>
              <w:left w:val="single" w:color="000000" w:sz="8" w:space="0"/>
              <w:right w:val="single" w:color="000000" w:sz="8" w:space="0"/>
            </w:tcBorders>
            <w:shd w:val="clear" w:color="auto" w:fill="auto"/>
            <w:tcMar>
              <w:top w:w="15" w:type="dxa"/>
              <w:left w:w="108" w:type="dxa"/>
              <w:bottom w:w="0" w:type="dxa"/>
              <w:right w:w="108" w:type="dxa"/>
            </w:tcMar>
            <w:vAlign w:val="center"/>
          </w:tcPr>
          <w:p>
            <w:pPr>
              <w:spacing w:after="0" w:line="270" w:lineRule="atLeast"/>
              <w:jc w:val="both"/>
              <w:rPr>
                <w:rFonts w:hint="default" w:ascii="Times New Roman" w:hAnsi="Times New Roman" w:eastAsia="Arial Unicode MS" w:cs="Times New Roman"/>
                <w:color w:val="000000"/>
                <w:kern w:val="24"/>
                <w:sz w:val="21"/>
                <w:szCs w:val="21"/>
                <w:lang w:eastAsia="zh-CN"/>
              </w:rPr>
            </w:pPr>
          </w:p>
        </w:tc>
        <w:tc>
          <w:tcPr>
            <w:tcW w:w="368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pStyle w:val="36"/>
              <w:rPr>
                <w:rFonts w:hint="default" w:ascii="Times New Roman" w:hAnsi="Times New Roman" w:cs="Times New Roman"/>
              </w:rPr>
            </w:pPr>
            <w:r>
              <w:rPr>
                <w:rFonts w:hint="default" w:ascii="Times New Roman" w:hAnsi="Times New Roman" w:cs="Times New Roman"/>
              </w:rPr>
              <w:t>Start symbol index</w:t>
            </w:r>
          </w:p>
        </w:tc>
        <w:tc>
          <w:tcPr>
            <w:tcW w:w="3686" w:type="dxa"/>
            <w:tcBorders>
              <w:top w:val="single" w:color="000000" w:sz="8" w:space="0"/>
              <w:left w:val="single" w:color="000000" w:sz="8" w:space="0"/>
              <w:bottom w:val="single" w:color="000000" w:sz="8" w:space="0"/>
              <w:right w:val="single" w:color="000000" w:sz="8" w:space="0"/>
            </w:tcBorders>
            <w:shd w:val="clear" w:color="auto" w:fill="auto"/>
          </w:tcPr>
          <w:p>
            <w:pPr>
              <w:pStyle w:val="35"/>
              <w:rPr>
                <w:rFonts w:hint="default" w:ascii="Times New Roman" w:hAnsi="Times New Roman" w:cs="Times New Roman"/>
              </w:rPr>
            </w:pPr>
            <w:r>
              <w:rPr>
                <w:rFonts w:hint="default" w:ascii="Times New Roman" w:hAnsi="Times New Roman" w:cs="Times New Roman"/>
              </w:rPr>
              <w:t xml:space="preserve">0 </w:t>
            </w:r>
          </w:p>
        </w:tc>
      </w:tr>
      <w:tr>
        <w:tblPrEx>
          <w:tblCellMar>
            <w:top w:w="0" w:type="dxa"/>
            <w:left w:w="0" w:type="dxa"/>
            <w:bottom w:w="0" w:type="dxa"/>
            <w:right w:w="0" w:type="dxa"/>
          </w:tblCellMar>
        </w:tblPrEx>
        <w:trPr>
          <w:trHeight w:val="137" w:hRule="atLeast"/>
        </w:trPr>
        <w:tc>
          <w:tcPr>
            <w:tcW w:w="2073" w:type="dxa"/>
            <w:vMerge w:val="continue"/>
            <w:tcBorders>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0" w:line="270" w:lineRule="atLeast"/>
              <w:jc w:val="both"/>
              <w:rPr>
                <w:rFonts w:hint="default" w:ascii="Times New Roman" w:hAnsi="Times New Roman" w:eastAsia="Arial Unicode MS" w:cs="Times New Roman"/>
                <w:color w:val="000000"/>
                <w:kern w:val="24"/>
                <w:sz w:val="21"/>
                <w:szCs w:val="21"/>
                <w:lang w:eastAsia="zh-CN"/>
              </w:rPr>
            </w:pPr>
          </w:p>
        </w:tc>
        <w:tc>
          <w:tcPr>
            <w:tcW w:w="368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pStyle w:val="36"/>
              <w:rPr>
                <w:rFonts w:hint="default" w:ascii="Times New Roman" w:hAnsi="Times New Roman" w:cs="Times New Roman"/>
              </w:rPr>
            </w:pPr>
            <w:r>
              <w:rPr>
                <w:rFonts w:hint="default" w:ascii="Times New Roman" w:hAnsi="Times New Roman" w:cs="Times New Roman"/>
              </w:rPr>
              <w:t>Allocation length</w:t>
            </w:r>
          </w:p>
        </w:tc>
        <w:tc>
          <w:tcPr>
            <w:tcW w:w="3686" w:type="dxa"/>
            <w:tcBorders>
              <w:top w:val="single" w:color="000000" w:sz="8" w:space="0"/>
              <w:left w:val="single" w:color="000000" w:sz="8" w:space="0"/>
              <w:bottom w:val="single" w:color="000000" w:sz="8" w:space="0"/>
              <w:right w:val="single" w:color="000000" w:sz="8" w:space="0"/>
            </w:tcBorders>
            <w:shd w:val="clear" w:color="auto" w:fill="auto"/>
          </w:tcPr>
          <w:p>
            <w:pPr>
              <w:pStyle w:val="35"/>
              <w:rPr>
                <w:rFonts w:hint="default" w:ascii="Times New Roman" w:hAnsi="Times New Roman" w:cs="Times New Roman"/>
              </w:rPr>
            </w:pPr>
            <w:r>
              <w:rPr>
                <w:rFonts w:hint="default" w:ascii="Times New Roman" w:hAnsi="Times New Roman" w:cs="Times New Roman"/>
              </w:rPr>
              <w:t xml:space="preserve">14 </w:t>
            </w:r>
          </w:p>
        </w:tc>
      </w:tr>
      <w:tr>
        <w:tblPrEx>
          <w:tblCellMar>
            <w:top w:w="0" w:type="dxa"/>
            <w:left w:w="0" w:type="dxa"/>
            <w:bottom w:w="0" w:type="dxa"/>
            <w:right w:w="0" w:type="dxa"/>
          </w:tblCellMar>
        </w:tblPrEx>
        <w:trPr>
          <w:trHeight w:val="270"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after="0" w:line="270"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DMRS configuration</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spacing w:after="0" w:line="270" w:lineRule="atLeast"/>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1+1</w:t>
            </w:r>
          </w:p>
        </w:tc>
      </w:tr>
      <w:tr>
        <w:tblPrEx>
          <w:tblCellMar>
            <w:top w:w="0" w:type="dxa"/>
            <w:left w:w="0" w:type="dxa"/>
            <w:bottom w:w="0" w:type="dxa"/>
            <w:right w:w="0" w:type="dxa"/>
          </w:tblCellMar>
        </w:tblPrEx>
        <w:trPr>
          <w:trHeight w:val="270"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top"/>
          </w:tcPr>
          <w:p>
            <w:pPr>
              <w:spacing w:after="0" w:line="256" w:lineRule="auto"/>
              <w:rPr>
                <w:rFonts w:hint="default" w:ascii="Times New Roman" w:hAnsi="Times New Roman" w:eastAsia="Times New Roman" w:cs="Times New Roman"/>
                <w:szCs w:val="24"/>
                <w:lang w:val="en-US" w:eastAsia="zh-CN" w:bidi="ar-SA"/>
              </w:rPr>
            </w:pPr>
            <w:r>
              <w:rPr>
                <w:color w:val="000000"/>
                <w:kern w:val="24"/>
                <w:lang w:val="en-US" w:eastAsia="zh-CN"/>
              </w:rPr>
              <w:t>Ratio of PUSCH EPRE to DM-RS EPRE</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top"/>
          </w:tcPr>
          <w:p>
            <w:pPr>
              <w:spacing w:after="0" w:line="256" w:lineRule="auto"/>
              <w:jc w:val="left"/>
              <w:rPr>
                <w:rFonts w:hint="default" w:ascii="Times New Roman" w:hAnsi="Times New Roman" w:eastAsia="Times New Roman" w:cs="Times New Roman"/>
                <w:szCs w:val="24"/>
                <w:lang w:val="en-US" w:eastAsia="zh-CN" w:bidi="ar-SA"/>
              </w:rPr>
            </w:pPr>
            <w:r>
              <w:rPr>
                <w:color w:val="000000"/>
                <w:kern w:val="24"/>
                <w:lang w:eastAsia="zh-CN"/>
              </w:rPr>
              <w:t>-3dB</w:t>
            </w:r>
          </w:p>
        </w:tc>
      </w:tr>
      <w:tr>
        <w:tblPrEx>
          <w:tblCellMar>
            <w:top w:w="0" w:type="dxa"/>
            <w:left w:w="0" w:type="dxa"/>
            <w:bottom w:w="0" w:type="dxa"/>
            <w:right w:w="0" w:type="dxa"/>
          </w:tblCellMar>
        </w:tblPrEx>
        <w:trPr>
          <w:trHeight w:val="334"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bottom"/>
          </w:tcPr>
          <w:p>
            <w:pPr>
              <w:spacing w:after="0" w:line="334"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PTRS configuration</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bottom"/>
          </w:tcPr>
          <w:p>
            <w:pPr>
              <w:spacing w:after="0" w:line="334"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 xml:space="preserve">KPTRS </w:t>
            </w:r>
            <w:r>
              <w:rPr>
                <w:rFonts w:hint="default" w:ascii="Times New Roman" w:hAnsi="Times New Roman" w:eastAsia="Arial Unicode MS" w:cs="Times New Roman"/>
                <w:color w:val="000000"/>
                <w:kern w:val="24"/>
                <w:sz w:val="21"/>
                <w:szCs w:val="21"/>
                <w:lang w:val="fi-FI" w:eastAsia="zh-CN"/>
              </w:rPr>
              <w:t xml:space="preserve">: 2 (every 2 RBs), </w:t>
            </w:r>
            <w:r>
              <w:rPr>
                <w:rFonts w:hint="default" w:ascii="Times New Roman" w:hAnsi="Times New Roman" w:eastAsia="Arial Unicode MS" w:cs="Times New Roman"/>
                <w:color w:val="000000"/>
                <w:kern w:val="24"/>
                <w:sz w:val="21"/>
                <w:szCs w:val="21"/>
                <w:lang w:eastAsia="zh-CN"/>
              </w:rPr>
              <w:t xml:space="preserve">LPTRS </w:t>
            </w:r>
            <w:r>
              <w:rPr>
                <w:rFonts w:hint="default" w:ascii="Times New Roman" w:hAnsi="Times New Roman" w:eastAsia="Arial Unicode MS" w:cs="Times New Roman"/>
                <w:color w:val="000000"/>
                <w:kern w:val="24"/>
                <w:sz w:val="21"/>
                <w:szCs w:val="21"/>
                <w:lang w:val="fi-FI" w:eastAsia="zh-CN"/>
              </w:rPr>
              <w:t>: 1 (every 1 symbol)</w:t>
            </w:r>
          </w:p>
        </w:tc>
      </w:tr>
      <w:tr>
        <w:tblPrEx>
          <w:tblCellMar>
            <w:top w:w="0" w:type="dxa"/>
            <w:left w:w="0" w:type="dxa"/>
            <w:bottom w:w="0" w:type="dxa"/>
            <w:right w:w="0" w:type="dxa"/>
          </w:tblCellMar>
        </w:tblPrEx>
        <w:trPr>
          <w:trHeight w:val="278"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Phase noise compensation</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line="278" w:lineRule="atLeast"/>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val="fi-FI" w:eastAsia="zh-CN"/>
              </w:rPr>
              <w:t>Practical based on PTRS</w:t>
            </w:r>
          </w:p>
        </w:tc>
      </w:tr>
      <w:tr>
        <w:tblPrEx>
          <w:tblCellMar>
            <w:top w:w="0" w:type="dxa"/>
            <w:left w:w="0" w:type="dxa"/>
            <w:bottom w:w="0" w:type="dxa"/>
            <w:right w:w="0" w:type="dxa"/>
          </w:tblCellMar>
        </w:tblPrEx>
        <w:trPr>
          <w:trHeight w:val="945"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val="fi-FI" w:eastAsia="zh-CN"/>
              </w:rPr>
              <w:t>Phase noise model</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val="fi-FI" w:eastAsia="zh-CN"/>
              </w:rPr>
              <w:t>TR 38.803 model (in section 6.1.10 and section 6.1.11)</w:t>
            </w:r>
          </w:p>
          <w:p>
            <w:pPr>
              <w:spacing w:after="0"/>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modelled Phase noise for TX and RX</w:t>
            </w:r>
          </w:p>
          <w:p>
            <w:pPr>
              <w:spacing w:after="0"/>
              <w:jc w:val="both"/>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val="fi-FI" w:eastAsia="zh-CN"/>
              </w:rPr>
              <w:t>Option b): PN model config2: example2 (UE) + example2(BS)</w:t>
            </w:r>
          </w:p>
        </w:tc>
      </w:tr>
      <w:tr>
        <w:tblPrEx>
          <w:tblCellMar>
            <w:top w:w="0" w:type="dxa"/>
            <w:left w:w="0" w:type="dxa"/>
            <w:bottom w:w="0" w:type="dxa"/>
            <w:right w:w="0" w:type="dxa"/>
          </w:tblCellMar>
        </w:tblPrEx>
        <w:trPr>
          <w:trHeight w:val="577" w:hRule="atLeast"/>
        </w:trPr>
        <w:tc>
          <w:tcPr>
            <w:tcW w:w="2073" w:type="dxa"/>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spacing w:after="0"/>
              <w:rPr>
                <w:rFonts w:hint="default" w:ascii="Times New Roman" w:hAnsi="Times New Roman" w:cs="Times New Roman"/>
                <w:sz w:val="21"/>
                <w:szCs w:val="21"/>
                <w:lang w:val="en-US" w:eastAsia="zh-CN"/>
              </w:rPr>
            </w:pPr>
            <w:r>
              <w:rPr>
                <w:rFonts w:hint="default" w:ascii="Times New Roman" w:hAnsi="Times New Roman" w:eastAsia="Arial Unicode MS" w:cs="Times New Roman"/>
                <w:color w:val="000000"/>
                <w:kern w:val="24"/>
                <w:sz w:val="21"/>
                <w:szCs w:val="21"/>
                <w:lang w:eastAsia="zh-CN"/>
              </w:rPr>
              <w:t>txEVM + rxEVM excluding phase noise for 256QAM</w:t>
            </w:r>
          </w:p>
        </w:tc>
        <w:tc>
          <w:tcPr>
            <w:tcW w:w="737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88" w:type="dxa"/>
              <w:bottom w:w="0" w:type="dxa"/>
              <w:right w:w="88" w:type="dxa"/>
            </w:tcMar>
            <w:vAlign w:val="center"/>
          </w:tcPr>
          <w:p>
            <w:pPr>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r>
              <w:rPr>
                <w:rFonts w:hint="default" w:ascii="Times New Roman" w:hAnsi="Times New Roman" w:cs="Times New Roman"/>
                <w:sz w:val="21"/>
                <w:szCs w:val="21"/>
                <w:lang w:val="sv-SE"/>
              </w:rPr>
              <w:t>.5%</w:t>
            </w:r>
            <w:r>
              <w:rPr>
                <w:rFonts w:hint="default" w:ascii="Times New Roman" w:hAnsi="Times New Roman" w:eastAsia="宋体" w:cs="Times New Roman"/>
                <w:sz w:val="21"/>
                <w:szCs w:val="21"/>
                <w:lang w:val="en-US" w:eastAsia="zh-CN"/>
              </w:rPr>
              <w:t xml:space="preserve"> + 2.5%</w:t>
            </w:r>
          </w:p>
          <w:p>
            <w:pPr>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w:t>
            </w:r>
            <w:r>
              <w:rPr>
                <w:rFonts w:hint="default" w:ascii="Times New Roman" w:hAnsi="Times New Roman" w:cs="Times New Roman"/>
                <w:sz w:val="21"/>
                <w:szCs w:val="21"/>
                <w:lang w:val="sv-SE"/>
              </w:rPr>
              <w:t>.5%</w:t>
            </w:r>
            <w:r>
              <w:rPr>
                <w:rFonts w:hint="default" w:ascii="Times New Roman" w:hAnsi="Times New Roman" w:eastAsia="宋体" w:cs="Times New Roman"/>
                <w:sz w:val="21"/>
                <w:szCs w:val="21"/>
                <w:lang w:val="en-US" w:eastAsia="zh-CN"/>
              </w:rPr>
              <w:t xml:space="preserve"> + 3.5%</w:t>
            </w:r>
          </w:p>
          <w:p>
            <w:pPr>
              <w:spacing w:after="0"/>
              <w:jc w:val="both"/>
              <w:rPr>
                <w:rFonts w:hint="default" w:ascii="Times New Roman" w:hAnsi="Times New Roman" w:cs="Times New Roman"/>
                <w:sz w:val="21"/>
                <w:szCs w:val="21"/>
                <w:lang w:val="en-US" w:eastAsia="zh-CN"/>
              </w:rPr>
            </w:pPr>
            <w:r>
              <w:rPr>
                <w:rFonts w:hint="default" w:ascii="Times New Roman" w:hAnsi="Times New Roman" w:eastAsia="宋体" w:cs="Times New Roman"/>
                <w:sz w:val="21"/>
                <w:szCs w:val="21"/>
                <w:lang w:val="en-US" w:eastAsia="zh-CN"/>
              </w:rPr>
              <w:t>4.0</w:t>
            </w:r>
            <w:r>
              <w:rPr>
                <w:rFonts w:hint="default" w:ascii="Times New Roman" w:hAnsi="Times New Roman" w:cs="Times New Roman"/>
                <w:sz w:val="21"/>
                <w:szCs w:val="21"/>
                <w:lang w:val="sv-SE"/>
              </w:rPr>
              <w:t>%</w:t>
            </w:r>
            <w:r>
              <w:rPr>
                <w:rFonts w:hint="default" w:ascii="Times New Roman" w:hAnsi="Times New Roman" w:eastAsia="宋体" w:cs="Times New Roman"/>
                <w:sz w:val="21"/>
                <w:szCs w:val="21"/>
                <w:lang w:val="en-US" w:eastAsia="zh-CN"/>
              </w:rPr>
              <w:t xml:space="preserve"> + 4.0%</w:t>
            </w:r>
          </w:p>
        </w:tc>
      </w:tr>
    </w:tbl>
    <w:p>
      <w:r>
        <w:rPr>
          <w:lang w:eastAsia="ja-JP"/>
        </w:rPr>
        <w:t>Figure 1 show</w:t>
      </w:r>
      <w:r>
        <w:rPr>
          <w:rFonts w:hint="eastAsia" w:eastAsia="宋体"/>
          <w:lang w:val="en-US" w:eastAsia="zh-CN"/>
        </w:rPr>
        <w:t>s</w:t>
      </w:r>
      <w:r>
        <w:rPr>
          <w:lang w:eastAsia="ja-JP"/>
        </w:rPr>
        <w:t xml:space="preserve"> </w:t>
      </w:r>
      <w:r>
        <w:rPr>
          <w:rFonts w:hint="eastAsia" w:eastAsia="宋体"/>
          <w:lang w:val="en-US" w:eastAsia="zh-CN"/>
        </w:rPr>
        <w:t>the performance comparison between</w:t>
      </w:r>
      <w:r>
        <w:rPr>
          <w:rFonts w:hint="eastAsia"/>
          <w:lang w:eastAsia="ja-JP"/>
        </w:rPr>
        <w:t xml:space="preserve"> </w:t>
      </w:r>
      <w:r>
        <w:rPr>
          <w:lang w:eastAsia="ja-JP"/>
        </w:rPr>
        <w:t>64QAM and 256QAM</w:t>
      </w:r>
      <w:r>
        <w:rPr>
          <w:rFonts w:hint="eastAsia" w:eastAsia="宋体"/>
          <w:lang w:val="en-US" w:eastAsia="zh-CN"/>
        </w:rPr>
        <w:t xml:space="preserve"> in TDL-D channel. From figure 1 w</w:t>
      </w:r>
      <w:r>
        <w:rPr>
          <w:rFonts w:hint="eastAsia"/>
          <w:lang w:eastAsia="ja-JP"/>
        </w:rPr>
        <w:t>e can find that 256QAM obtains</w:t>
      </w:r>
      <w:r>
        <w:rPr>
          <w:rFonts w:hint="eastAsia" w:eastAsia="宋体"/>
          <w:lang w:val="en-US" w:eastAsia="zh-CN"/>
        </w:rPr>
        <w:t xml:space="preserve"> large</w:t>
      </w:r>
      <w:r>
        <w:rPr>
          <w:rFonts w:hint="eastAsia"/>
          <w:lang w:eastAsia="ja-JP"/>
        </w:rPr>
        <w:t xml:space="preserve"> gain </w:t>
      </w:r>
      <w:r>
        <w:rPr>
          <w:rFonts w:hint="eastAsia" w:eastAsia="宋体"/>
          <w:lang w:val="en-US" w:eastAsia="zh-CN"/>
        </w:rPr>
        <w:t>when SNR is larger than ~21dB and smaller EVM sets can obtain gain at lower SNR value.</w:t>
      </w:r>
      <w:r>
        <w:rPr>
          <w:lang w:eastAsia="ja-JP"/>
        </w:rPr>
        <w:t xml:space="preserve"> </w:t>
      </w:r>
    </w:p>
    <w:p>
      <w:pPr>
        <w:jc w:val="center"/>
      </w:pPr>
      <w:r>
        <w:drawing>
          <wp:inline distT="0" distB="0" distL="114300" distR="114300">
            <wp:extent cx="3834765" cy="2774315"/>
            <wp:effectExtent l="0" t="0" r="5715" b="14605"/>
            <wp:docPr id="3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8"/>
                    <pic:cNvPicPr>
                      <a:picLocks noChangeAspect="1"/>
                    </pic:cNvPicPr>
                  </pic:nvPicPr>
                  <pic:blipFill>
                    <a:blip r:embed="rId5"/>
                    <a:stretch>
                      <a:fillRect/>
                    </a:stretch>
                  </pic:blipFill>
                  <pic:spPr>
                    <a:xfrm>
                      <a:off x="0" y="0"/>
                      <a:ext cx="3834765" cy="2774315"/>
                    </a:xfrm>
                    <a:prstGeom prst="rect">
                      <a:avLst/>
                    </a:prstGeom>
                    <a:noFill/>
                    <a:ln>
                      <a:noFill/>
                    </a:ln>
                  </pic:spPr>
                </pic:pic>
              </a:graphicData>
            </a:graphic>
          </wp:inline>
        </w:drawing>
      </w:r>
    </w:p>
    <w:p>
      <w:pPr>
        <w:jc w:val="center"/>
        <w:rPr>
          <w:rFonts w:hint="default" w:ascii="Times New Roman" w:hAnsi="Times New Roman" w:cs="Times New Roman"/>
          <w:b/>
          <w:lang w:val="en-US" w:eastAsia="zh-CN"/>
        </w:rPr>
      </w:pPr>
      <w:r>
        <w:rPr>
          <w:rFonts w:hint="default" w:ascii="Times New Roman" w:hAnsi="Times New Roman" w:cs="Times New Roman"/>
          <w:b/>
          <w:lang w:eastAsia="zh-CN"/>
        </w:rPr>
        <w:t xml:space="preserve">Figure 1: Throughput performance </w:t>
      </w:r>
      <w:r>
        <w:rPr>
          <w:rFonts w:hint="eastAsia" w:ascii="Times New Roman" w:hAnsi="Times New Roman" w:cs="Times New Roman"/>
          <w:b/>
          <w:lang w:val="en-US" w:eastAsia="zh-CN"/>
        </w:rPr>
        <w:t>comparison between</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256QAM </w:t>
      </w:r>
      <w:r>
        <w:rPr>
          <w:rFonts w:hint="eastAsia" w:ascii="Times New Roman" w:hAnsi="Times New Roman" w:cs="Times New Roman"/>
          <w:b/>
          <w:lang w:val="en-US" w:eastAsia="zh-CN"/>
        </w:rPr>
        <w:t>and</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64QAM </w:t>
      </w:r>
      <w:r>
        <w:rPr>
          <w:rFonts w:hint="eastAsia" w:cs="Times New Roman"/>
          <w:b/>
          <w:lang w:val="en-US" w:eastAsia="zh-CN"/>
        </w:rPr>
        <w:t xml:space="preserve">in </w:t>
      </w:r>
      <w:r>
        <w:rPr>
          <w:rFonts w:hint="eastAsia" w:ascii="Times New Roman" w:hAnsi="Times New Roman" w:cs="Times New Roman"/>
          <w:b/>
          <w:lang w:val="en-US" w:eastAsia="zh-CN"/>
        </w:rPr>
        <w:t>TDL-D</w:t>
      </w:r>
    </w:p>
    <w:p>
      <w:r>
        <w:rPr>
          <w:lang w:eastAsia="ja-JP"/>
        </w:rPr>
        <w:t xml:space="preserve">Figure </w:t>
      </w:r>
      <w:r>
        <w:rPr>
          <w:rFonts w:hint="eastAsia" w:eastAsia="宋体"/>
          <w:lang w:val="en-US" w:eastAsia="zh-CN"/>
        </w:rPr>
        <w:t>2</w:t>
      </w:r>
      <w:r>
        <w:rPr>
          <w:lang w:eastAsia="ja-JP"/>
        </w:rPr>
        <w:t xml:space="preserve"> show</w:t>
      </w:r>
      <w:r>
        <w:rPr>
          <w:rFonts w:hint="eastAsia" w:eastAsia="宋体"/>
          <w:lang w:val="en-US" w:eastAsia="zh-CN"/>
        </w:rPr>
        <w:t>s</w:t>
      </w:r>
      <w:r>
        <w:rPr>
          <w:lang w:eastAsia="ja-JP"/>
        </w:rPr>
        <w:t xml:space="preserve"> </w:t>
      </w:r>
      <w:r>
        <w:rPr>
          <w:rFonts w:hint="eastAsia" w:eastAsia="宋体"/>
          <w:lang w:val="en-US" w:eastAsia="zh-CN"/>
        </w:rPr>
        <w:t>the performance comparison between</w:t>
      </w:r>
      <w:r>
        <w:rPr>
          <w:rFonts w:hint="eastAsia"/>
          <w:lang w:eastAsia="ja-JP"/>
        </w:rPr>
        <w:t xml:space="preserve"> </w:t>
      </w:r>
      <w:r>
        <w:rPr>
          <w:lang w:eastAsia="ja-JP"/>
        </w:rPr>
        <w:t>64QAM and 256QAM</w:t>
      </w:r>
      <w:r>
        <w:rPr>
          <w:rFonts w:hint="eastAsia" w:eastAsia="宋体"/>
          <w:lang w:val="en-US" w:eastAsia="zh-CN"/>
        </w:rPr>
        <w:t xml:space="preserve"> in TDL-A channel. Figure 2 shows</w:t>
      </w:r>
      <w:r>
        <w:rPr>
          <w:rFonts w:hint="eastAsia"/>
          <w:lang w:eastAsia="ja-JP"/>
        </w:rPr>
        <w:t xml:space="preserve"> that 256QAM obtains gain </w:t>
      </w:r>
      <w:r>
        <w:rPr>
          <w:rFonts w:hint="eastAsia" w:eastAsia="宋体"/>
          <w:lang w:val="en-US" w:eastAsia="zh-CN"/>
        </w:rPr>
        <w:t>when SNR is over ~30</w:t>
      </w:r>
      <w:r>
        <w:rPr>
          <w:rFonts w:hint="eastAsia"/>
          <w:lang w:eastAsia="ja-JP"/>
        </w:rPr>
        <w:t>dB</w:t>
      </w:r>
      <w:r>
        <w:rPr>
          <w:rFonts w:hint="eastAsia" w:eastAsia="宋体"/>
          <w:lang w:val="en-US" w:eastAsia="zh-CN"/>
        </w:rPr>
        <w:t xml:space="preserve"> in the condition of Tx EVM=2.5% and Rx EVM =2.5%, and the throughput gain is smaller compared with TDL-D channel.</w:t>
      </w:r>
      <w:r>
        <w:rPr>
          <w:lang w:eastAsia="ja-JP"/>
        </w:rPr>
        <w:t xml:space="preserve"> </w:t>
      </w:r>
    </w:p>
    <w:p>
      <w:pPr>
        <w:jc w:val="center"/>
      </w:pPr>
      <w:r>
        <w:drawing>
          <wp:inline distT="0" distB="0" distL="114300" distR="114300">
            <wp:extent cx="3695065" cy="2870200"/>
            <wp:effectExtent l="0" t="0" r="8255" b="10160"/>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
                    <pic:cNvPicPr>
                      <a:picLocks noChangeAspect="1"/>
                    </pic:cNvPicPr>
                  </pic:nvPicPr>
                  <pic:blipFill>
                    <a:blip r:embed="rId6"/>
                    <a:stretch>
                      <a:fillRect/>
                    </a:stretch>
                  </pic:blipFill>
                  <pic:spPr>
                    <a:xfrm>
                      <a:off x="0" y="0"/>
                      <a:ext cx="3695065" cy="2870200"/>
                    </a:xfrm>
                    <a:prstGeom prst="rect">
                      <a:avLst/>
                    </a:prstGeom>
                    <a:noFill/>
                    <a:ln>
                      <a:noFill/>
                    </a:ln>
                  </pic:spPr>
                </pic:pic>
              </a:graphicData>
            </a:graphic>
          </wp:inline>
        </w:drawing>
      </w:r>
    </w:p>
    <w:p>
      <w:pPr>
        <w:jc w:val="center"/>
        <w:rPr>
          <w:rFonts w:hint="default" w:ascii="Times New Roman" w:hAnsi="Times New Roman" w:cs="Times New Roman"/>
          <w:b/>
          <w:lang w:val="en-US" w:eastAsia="zh-CN"/>
        </w:rPr>
      </w:pPr>
      <w:r>
        <w:rPr>
          <w:rFonts w:hint="default" w:ascii="Times New Roman" w:hAnsi="Times New Roman" w:cs="Times New Roman"/>
          <w:b/>
          <w:lang w:eastAsia="zh-CN"/>
        </w:rPr>
        <w:t xml:space="preserve">Figure </w:t>
      </w:r>
      <w:r>
        <w:rPr>
          <w:rFonts w:hint="eastAsia" w:cs="Times New Roman"/>
          <w:b/>
          <w:lang w:val="en-US" w:eastAsia="zh-CN"/>
        </w:rPr>
        <w:t>2</w:t>
      </w:r>
      <w:r>
        <w:rPr>
          <w:rFonts w:hint="default" w:ascii="Times New Roman" w:hAnsi="Times New Roman" w:cs="Times New Roman"/>
          <w:b/>
          <w:lang w:eastAsia="zh-CN"/>
        </w:rPr>
        <w:t xml:space="preserve">: Throughput performance </w:t>
      </w:r>
      <w:r>
        <w:rPr>
          <w:rFonts w:hint="eastAsia" w:ascii="Times New Roman" w:hAnsi="Times New Roman" w:cs="Times New Roman"/>
          <w:b/>
          <w:lang w:val="en-US" w:eastAsia="zh-CN"/>
        </w:rPr>
        <w:t>comparison between</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256QAM </w:t>
      </w:r>
      <w:r>
        <w:rPr>
          <w:rFonts w:hint="eastAsia" w:ascii="Times New Roman" w:hAnsi="Times New Roman" w:cs="Times New Roman"/>
          <w:b/>
          <w:lang w:val="en-US" w:eastAsia="zh-CN"/>
        </w:rPr>
        <w:t>and</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64QAM for </w:t>
      </w:r>
      <w:r>
        <w:rPr>
          <w:rFonts w:hint="eastAsia" w:ascii="Times New Roman" w:hAnsi="Times New Roman" w:cs="Times New Roman"/>
          <w:b/>
          <w:lang w:val="en-US" w:eastAsia="zh-CN"/>
        </w:rPr>
        <w:t>TDL-</w:t>
      </w:r>
      <w:r>
        <w:rPr>
          <w:rFonts w:hint="eastAsia" w:cs="Times New Roman"/>
          <w:b/>
          <w:lang w:val="en-US" w:eastAsia="zh-CN"/>
        </w:rPr>
        <w:t>A</w:t>
      </w:r>
    </w:p>
    <w:p>
      <w:pPr>
        <w:rPr>
          <w:rFonts w:hint="default" w:eastAsia="宋体" w:cs="Times New Roman"/>
          <w:kern w:val="0"/>
          <w:sz w:val="20"/>
          <w:szCs w:val="24"/>
          <w:lang w:val="en-US" w:eastAsia="zh-CN" w:bidi="ar-SA"/>
        </w:rPr>
      </w:pPr>
      <w:r>
        <w:rPr>
          <w:rFonts w:hint="eastAsia" w:eastAsia="宋体" w:cs="Times New Roman"/>
          <w:kern w:val="0"/>
          <w:sz w:val="20"/>
          <w:szCs w:val="24"/>
          <w:lang w:val="en-US" w:eastAsia="zh-CN" w:bidi="ar-SA"/>
        </w:rPr>
        <w:t>Performance comparison between 64QAM and 256QAM in AWGN are shown in figure 3, we can also find the obvious performance gain for 256QAM when SNR is over around 19dB for all the EVM sets in the assumption.</w:t>
      </w:r>
    </w:p>
    <w:p>
      <w:pPr>
        <w:jc w:val="center"/>
      </w:pPr>
      <w:r>
        <w:drawing>
          <wp:inline distT="0" distB="0" distL="114300" distR="114300">
            <wp:extent cx="3785870" cy="2688590"/>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785870" cy="2688590"/>
                    </a:xfrm>
                    <a:prstGeom prst="rect">
                      <a:avLst/>
                    </a:prstGeom>
                    <a:noFill/>
                    <a:ln>
                      <a:noFill/>
                    </a:ln>
                  </pic:spPr>
                </pic:pic>
              </a:graphicData>
            </a:graphic>
          </wp:inline>
        </w:drawing>
      </w:r>
    </w:p>
    <w:p>
      <w:pPr>
        <w:jc w:val="center"/>
        <w:rPr>
          <w:rFonts w:hint="default"/>
          <w:lang w:val="en-US" w:eastAsia="zh-CN"/>
        </w:rPr>
      </w:pPr>
      <w:r>
        <w:rPr>
          <w:rFonts w:hint="default" w:ascii="Times New Roman" w:hAnsi="Times New Roman" w:cs="Times New Roman"/>
          <w:b/>
          <w:lang w:eastAsia="zh-CN"/>
        </w:rPr>
        <w:t xml:space="preserve">Figure </w:t>
      </w:r>
      <w:r>
        <w:rPr>
          <w:rFonts w:hint="eastAsia" w:cs="Times New Roman"/>
          <w:b/>
          <w:lang w:val="en-US" w:eastAsia="zh-CN"/>
        </w:rPr>
        <w:t>3</w:t>
      </w:r>
      <w:r>
        <w:rPr>
          <w:rFonts w:hint="default" w:ascii="Times New Roman" w:hAnsi="Times New Roman" w:cs="Times New Roman"/>
          <w:b/>
          <w:lang w:eastAsia="zh-CN"/>
        </w:rPr>
        <w:t xml:space="preserve">: Throughput performance </w:t>
      </w:r>
      <w:r>
        <w:rPr>
          <w:rFonts w:hint="eastAsia" w:ascii="Times New Roman" w:hAnsi="Times New Roman" w:cs="Times New Roman"/>
          <w:b/>
          <w:lang w:val="en-US" w:eastAsia="zh-CN"/>
        </w:rPr>
        <w:t>comparison between</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256QAM </w:t>
      </w:r>
      <w:r>
        <w:rPr>
          <w:rFonts w:hint="eastAsia" w:ascii="Times New Roman" w:hAnsi="Times New Roman" w:cs="Times New Roman"/>
          <w:b/>
          <w:lang w:val="en-US" w:eastAsia="zh-CN"/>
        </w:rPr>
        <w:t>and</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64QAM </w:t>
      </w:r>
      <w:r>
        <w:rPr>
          <w:rFonts w:hint="eastAsia" w:cs="Times New Roman"/>
          <w:b/>
          <w:lang w:val="en-US" w:eastAsia="zh-CN"/>
        </w:rPr>
        <w:t xml:space="preserve">in AWGN </w:t>
      </w:r>
    </w:p>
    <w:p>
      <w:r>
        <w:rPr>
          <w:rFonts w:ascii="Times New Roman" w:hAnsi="Times New Roman" w:eastAsia="Times New Roman" w:cs="Times New Roman"/>
          <w:kern w:val="0"/>
          <w:sz w:val="20"/>
          <w:szCs w:val="24"/>
          <w:lang w:val="en-US" w:eastAsia="ja-JP" w:bidi="ar-SA"/>
        </w:rPr>
        <w:t xml:space="preserve">From </w:t>
      </w:r>
      <w:r>
        <w:rPr>
          <w:rFonts w:hint="eastAsia" w:ascii="Times New Roman" w:hAnsi="Times New Roman" w:cs="Times New Roman"/>
          <w:kern w:val="0"/>
          <w:sz w:val="20"/>
          <w:szCs w:val="24"/>
          <w:lang w:val="en-US" w:eastAsia="zh-CN" w:bidi="ar-SA"/>
        </w:rPr>
        <w:t xml:space="preserve">the </w:t>
      </w:r>
      <w:r>
        <w:rPr>
          <w:rFonts w:hint="eastAsia" w:cs="Times New Roman"/>
          <w:kern w:val="0"/>
          <w:sz w:val="20"/>
          <w:szCs w:val="24"/>
          <w:lang w:val="en-US" w:eastAsia="zh-CN" w:bidi="ar-SA"/>
        </w:rPr>
        <w:t xml:space="preserve">above </w:t>
      </w:r>
      <w:r>
        <w:rPr>
          <w:rFonts w:hint="eastAsia" w:ascii="Times New Roman" w:hAnsi="Times New Roman" w:cs="Times New Roman"/>
          <w:kern w:val="0"/>
          <w:sz w:val="20"/>
          <w:szCs w:val="24"/>
          <w:lang w:val="en-US" w:eastAsia="zh-CN" w:bidi="ar-SA"/>
        </w:rPr>
        <w:t>initial</w:t>
      </w:r>
      <w:r>
        <w:rPr>
          <w:rFonts w:ascii="Times New Roman" w:hAnsi="Times New Roman" w:eastAsia="Times New Roman" w:cs="Times New Roman"/>
          <w:kern w:val="0"/>
          <w:sz w:val="20"/>
          <w:szCs w:val="24"/>
          <w:lang w:val="en-US" w:eastAsia="ja-JP" w:bidi="ar-SA"/>
        </w:rPr>
        <w:t xml:space="preserve"> results</w:t>
      </w:r>
      <w:r>
        <w:rPr>
          <w:rFonts w:hint="eastAsia" w:eastAsia="宋体" w:cs="Times New Roman"/>
          <w:kern w:val="0"/>
          <w:sz w:val="20"/>
          <w:szCs w:val="24"/>
          <w:lang w:val="en-US" w:eastAsia="zh-CN" w:bidi="ar-SA"/>
        </w:rPr>
        <w:t>,</w:t>
      </w:r>
      <w:r>
        <w:rPr>
          <w:rFonts w:ascii="Times New Roman" w:hAnsi="Times New Roman" w:eastAsia="Times New Roman" w:cs="Times New Roman"/>
          <w:kern w:val="0"/>
          <w:sz w:val="20"/>
          <w:szCs w:val="24"/>
          <w:lang w:val="en-US" w:eastAsia="ja-JP" w:bidi="ar-SA"/>
        </w:rPr>
        <w:t xml:space="preserve"> we can </w:t>
      </w:r>
      <w:r>
        <w:rPr>
          <w:rFonts w:hint="eastAsia" w:ascii="Times New Roman" w:hAnsi="Times New Roman" w:cs="Times New Roman"/>
          <w:kern w:val="0"/>
          <w:sz w:val="20"/>
          <w:szCs w:val="24"/>
          <w:lang w:val="en-US" w:eastAsia="zh-CN" w:bidi="ar-SA"/>
        </w:rPr>
        <w:t xml:space="preserve">find </w:t>
      </w:r>
      <w:r>
        <w:rPr>
          <w:rFonts w:ascii="Times New Roman" w:hAnsi="Times New Roman" w:eastAsia="Times New Roman" w:cs="Times New Roman"/>
          <w:kern w:val="0"/>
          <w:sz w:val="20"/>
          <w:szCs w:val="24"/>
          <w:lang w:val="en-US" w:eastAsia="ja-JP" w:bidi="ar-SA"/>
        </w:rPr>
        <w:t xml:space="preserve">that 256QAM performance </w:t>
      </w:r>
      <w:r>
        <w:rPr>
          <w:rFonts w:hint="eastAsia" w:ascii="Times New Roman" w:hAnsi="Times New Roman" w:cs="Times New Roman"/>
          <w:kern w:val="0"/>
          <w:sz w:val="20"/>
          <w:szCs w:val="24"/>
          <w:lang w:val="en-US" w:eastAsia="zh-CN" w:bidi="ar-SA"/>
        </w:rPr>
        <w:t xml:space="preserve">gain can be expected </w:t>
      </w:r>
      <w:r>
        <w:rPr>
          <w:rFonts w:hint="eastAsia" w:cs="Times New Roman"/>
          <w:kern w:val="0"/>
          <w:sz w:val="20"/>
          <w:szCs w:val="24"/>
          <w:lang w:val="en-US" w:eastAsia="zh-CN" w:bidi="ar-SA"/>
        </w:rPr>
        <w:t xml:space="preserve">large in </w:t>
      </w:r>
      <w:r>
        <w:rPr>
          <w:rFonts w:ascii="Times New Roman" w:hAnsi="Times New Roman" w:eastAsia="Times New Roman" w:cs="Times New Roman"/>
          <w:kern w:val="0"/>
          <w:sz w:val="20"/>
          <w:szCs w:val="24"/>
          <w:lang w:val="en-US" w:eastAsia="ja-JP" w:bidi="ar-SA"/>
        </w:rPr>
        <w:t>TDL-D</w:t>
      </w:r>
      <w:r>
        <w:rPr>
          <w:rFonts w:hint="eastAsia" w:eastAsia="宋体" w:cs="Times New Roman"/>
          <w:kern w:val="0"/>
          <w:sz w:val="20"/>
          <w:szCs w:val="24"/>
          <w:lang w:val="en-US" w:eastAsia="zh-CN" w:bidi="ar-SA"/>
        </w:rPr>
        <w:t xml:space="preserve"> channel</w:t>
      </w:r>
      <w:r>
        <w:rPr>
          <w:rFonts w:hint="eastAsia" w:ascii="Times New Roman" w:hAnsi="Times New Roman" w:cs="Times New Roman"/>
          <w:kern w:val="0"/>
          <w:sz w:val="20"/>
          <w:szCs w:val="24"/>
          <w:lang w:val="en-US" w:eastAsia="zh-CN" w:bidi="ar-SA"/>
        </w:rPr>
        <w:t xml:space="preserve"> </w:t>
      </w:r>
      <w:r>
        <w:rPr>
          <w:rFonts w:hint="eastAsia" w:cs="Times New Roman"/>
          <w:kern w:val="0"/>
          <w:sz w:val="20"/>
          <w:szCs w:val="24"/>
          <w:lang w:val="en-US" w:eastAsia="zh-CN" w:bidi="ar-SA"/>
        </w:rPr>
        <w:t xml:space="preserve">while small in </w:t>
      </w:r>
      <w:r>
        <w:rPr>
          <w:rFonts w:hint="eastAsia" w:ascii="Times New Roman" w:hAnsi="Times New Roman" w:cs="Times New Roman"/>
          <w:kern w:val="0"/>
          <w:sz w:val="20"/>
          <w:szCs w:val="24"/>
          <w:lang w:val="en-US" w:eastAsia="zh-CN" w:bidi="ar-SA"/>
        </w:rPr>
        <w:t>TDL-A</w:t>
      </w:r>
      <w:r>
        <w:rPr>
          <w:rFonts w:hint="eastAsia" w:cs="Times New Roman"/>
          <w:kern w:val="0"/>
          <w:sz w:val="20"/>
          <w:szCs w:val="24"/>
          <w:lang w:val="en-US" w:eastAsia="zh-CN" w:bidi="ar-SA"/>
        </w:rPr>
        <w:t xml:space="preserve"> channel</w:t>
      </w:r>
      <w:r>
        <w:rPr>
          <w:rFonts w:ascii="Times New Roman" w:hAnsi="Times New Roman" w:eastAsia="Times New Roman" w:cs="Times New Roman"/>
          <w:kern w:val="0"/>
          <w:sz w:val="20"/>
          <w:szCs w:val="24"/>
          <w:lang w:val="en-US" w:eastAsia="ja-JP" w:bidi="ar-SA"/>
        </w:rPr>
        <w:t xml:space="preserve">. </w:t>
      </w:r>
      <w:r>
        <w:rPr>
          <w:rFonts w:hint="eastAsia" w:ascii="Times New Roman" w:hAnsi="Times New Roman" w:cs="Times New Roman"/>
          <w:kern w:val="0"/>
          <w:sz w:val="20"/>
          <w:szCs w:val="24"/>
          <w:lang w:val="en-US" w:eastAsia="zh-CN" w:bidi="ar-SA"/>
        </w:rPr>
        <w:t>On the other hand, EVM assumption</w:t>
      </w:r>
      <w:r>
        <w:rPr>
          <w:rFonts w:hint="eastAsia" w:cs="Times New Roman"/>
          <w:kern w:val="0"/>
          <w:sz w:val="20"/>
          <w:szCs w:val="24"/>
          <w:lang w:val="en-US" w:eastAsia="zh-CN" w:bidi="ar-SA"/>
        </w:rPr>
        <w:t>s</w:t>
      </w:r>
      <w:r>
        <w:rPr>
          <w:rFonts w:hint="eastAsia" w:ascii="Times New Roman" w:hAnsi="Times New Roman" w:cs="Times New Roman"/>
          <w:kern w:val="0"/>
          <w:sz w:val="20"/>
          <w:szCs w:val="24"/>
          <w:lang w:val="en-US" w:eastAsia="zh-CN" w:bidi="ar-SA"/>
        </w:rPr>
        <w:t xml:space="preserve"> </w:t>
      </w:r>
      <w:r>
        <w:rPr>
          <w:rFonts w:hint="eastAsia" w:cs="Times New Roman"/>
          <w:kern w:val="0"/>
          <w:sz w:val="20"/>
          <w:szCs w:val="24"/>
          <w:lang w:val="en-US" w:eastAsia="zh-CN" w:bidi="ar-SA"/>
        </w:rPr>
        <w:t xml:space="preserve">will </w:t>
      </w:r>
      <w:r>
        <w:rPr>
          <w:rFonts w:hint="eastAsia" w:ascii="Times New Roman" w:hAnsi="Times New Roman" w:cs="Times New Roman"/>
          <w:kern w:val="0"/>
          <w:sz w:val="20"/>
          <w:szCs w:val="24"/>
          <w:lang w:val="en-US" w:eastAsia="zh-CN" w:bidi="ar-SA"/>
        </w:rPr>
        <w:t>also</w:t>
      </w:r>
      <w:r>
        <w:rPr>
          <w:rFonts w:hint="eastAsia" w:cs="Times New Roman"/>
          <w:kern w:val="0"/>
          <w:sz w:val="20"/>
          <w:szCs w:val="24"/>
          <w:lang w:val="en-US" w:eastAsia="zh-CN" w:bidi="ar-SA"/>
        </w:rPr>
        <w:t xml:space="preserve"> impact </w:t>
      </w:r>
      <w:r>
        <w:rPr>
          <w:rFonts w:hint="eastAsia" w:ascii="Times New Roman" w:hAnsi="Times New Roman" w:cs="Times New Roman"/>
          <w:kern w:val="0"/>
          <w:sz w:val="20"/>
          <w:szCs w:val="24"/>
          <w:lang w:val="en-US" w:eastAsia="zh-CN" w:bidi="ar-SA"/>
        </w:rPr>
        <w:t>performance gain for FR2 UL 256QAM</w:t>
      </w:r>
      <w:r>
        <w:rPr>
          <w:rFonts w:hint="eastAsia" w:cs="Times New Roman"/>
          <w:kern w:val="0"/>
          <w:sz w:val="20"/>
          <w:szCs w:val="24"/>
          <w:lang w:val="en-US" w:eastAsia="zh-CN" w:bidi="ar-SA"/>
        </w:rPr>
        <w:t>, for example the 256QAM perfo</w:t>
      </w:r>
      <w:bookmarkStart w:id="1" w:name="_GoBack"/>
      <w:bookmarkEnd w:id="1"/>
      <w:r>
        <w:rPr>
          <w:rFonts w:hint="eastAsia" w:cs="Times New Roman"/>
          <w:kern w:val="0"/>
          <w:sz w:val="20"/>
          <w:szCs w:val="24"/>
          <w:lang w:val="en-US" w:eastAsia="zh-CN" w:bidi="ar-SA"/>
        </w:rPr>
        <w:t>rmance is not good as that of 64QAM in the TDL-A channel in the case of the Tx EVM 4.0 + Rx EVM 4.0</w:t>
      </w:r>
      <w:r>
        <w:rPr>
          <w:rFonts w:ascii="Times New Roman" w:hAnsi="Times New Roman" w:eastAsia="Times New Roman" w:cs="Times New Roman"/>
          <w:kern w:val="0"/>
          <w:sz w:val="20"/>
          <w:szCs w:val="24"/>
          <w:lang w:val="en-US" w:eastAsia="ja-JP" w:bidi="ar-SA"/>
        </w:rPr>
        <w:t>.</w:t>
      </w:r>
    </w:p>
    <w:p>
      <w:pPr>
        <w:rPr>
          <w:rFonts w:hint="eastAsia" w:eastAsia="宋体"/>
          <w:lang w:val="en-US" w:eastAsia="zh-CN"/>
        </w:rPr>
      </w:pPr>
      <w:r>
        <w:rPr>
          <w:rFonts w:hint="eastAsia" w:ascii="Times New Roman" w:hAnsi="Times New Roman" w:eastAsia="宋体"/>
          <w:b/>
          <w:sz w:val="20"/>
          <w:szCs w:val="20"/>
          <w:lang w:val="en-US" w:eastAsia="zh-CN"/>
        </w:rPr>
        <w:t>Observation</w:t>
      </w:r>
      <w:r>
        <w:rPr>
          <w:rFonts w:hint="eastAsia" w:ascii="Times New Roman" w:hAnsi="Times New Roman"/>
          <w:b/>
          <w:sz w:val="20"/>
          <w:szCs w:val="20"/>
        </w:rPr>
        <w:t xml:space="preserve"> </w:t>
      </w:r>
      <w:r>
        <w:rPr>
          <w:rFonts w:hint="eastAsia" w:ascii="Times New Roman" w:hAnsi="Times New Roman" w:eastAsia="宋体"/>
          <w:b/>
          <w:sz w:val="20"/>
          <w:szCs w:val="20"/>
          <w:lang w:val="en-US" w:eastAsia="zh-CN"/>
        </w:rPr>
        <w:t>1</w:t>
      </w:r>
      <w:r>
        <w:rPr>
          <w:rFonts w:hint="eastAsia" w:ascii="Times New Roman" w:hAnsi="Times New Roman"/>
          <w:b/>
          <w:sz w:val="20"/>
          <w:szCs w:val="20"/>
        </w:rPr>
        <w:t>:</w:t>
      </w:r>
      <w:r>
        <w:rPr>
          <w:rFonts w:hint="eastAsia" w:eastAsia="宋体"/>
          <w:b/>
          <w:sz w:val="20"/>
          <w:szCs w:val="20"/>
          <w:lang w:val="en-US" w:eastAsia="zh-CN"/>
        </w:rPr>
        <w:t xml:space="preserve"> 256QAM performance gain can be expected in AWGN and TDL-D channel.</w:t>
      </w:r>
      <w:r>
        <w:rPr>
          <w:rFonts w:hint="eastAsia" w:eastAsia="宋体"/>
          <w:lang w:val="en-US" w:eastAsia="zh-CN"/>
        </w:rPr>
        <w:t xml:space="preserve"> </w:t>
      </w:r>
    </w:p>
    <w:p>
      <w:pPr>
        <w:rPr>
          <w:rFonts w:hint="eastAsia" w:eastAsia="宋体"/>
          <w:lang w:val="en-US" w:eastAsia="zh-CN"/>
        </w:rPr>
      </w:pPr>
      <w:r>
        <w:rPr>
          <w:rFonts w:hint="eastAsia" w:ascii="Times New Roman" w:hAnsi="Times New Roman" w:eastAsia="宋体"/>
          <w:b/>
          <w:sz w:val="20"/>
          <w:szCs w:val="20"/>
          <w:lang w:val="en-US" w:eastAsia="zh-CN"/>
        </w:rPr>
        <w:t>Observation</w:t>
      </w:r>
      <w:r>
        <w:rPr>
          <w:rFonts w:hint="eastAsia" w:ascii="Times New Roman" w:hAnsi="Times New Roman"/>
          <w:b/>
          <w:sz w:val="20"/>
          <w:szCs w:val="20"/>
        </w:rPr>
        <w:t xml:space="preserve"> </w:t>
      </w:r>
      <w:r>
        <w:rPr>
          <w:rFonts w:hint="eastAsia" w:ascii="Times New Roman" w:hAnsi="Times New Roman" w:eastAsia="宋体"/>
          <w:b/>
          <w:sz w:val="20"/>
          <w:szCs w:val="20"/>
          <w:lang w:val="en-US" w:eastAsia="zh-CN"/>
        </w:rPr>
        <w:t>2</w:t>
      </w:r>
      <w:r>
        <w:rPr>
          <w:rFonts w:hint="eastAsia" w:ascii="Times New Roman" w:hAnsi="Times New Roman"/>
          <w:b/>
          <w:sz w:val="20"/>
          <w:szCs w:val="20"/>
        </w:rPr>
        <w:t>:</w:t>
      </w:r>
      <w:r>
        <w:rPr>
          <w:rFonts w:hint="eastAsia" w:eastAsia="宋体"/>
          <w:b/>
          <w:sz w:val="20"/>
          <w:szCs w:val="20"/>
          <w:lang w:val="en-US" w:eastAsia="zh-CN"/>
        </w:rPr>
        <w:t xml:space="preserve"> 256QAM performance gain is not obvious in TDL-A channel.</w:t>
      </w:r>
      <w:r>
        <w:rPr>
          <w:rFonts w:hint="eastAsia" w:eastAsia="宋体"/>
          <w:lang w:val="en-US" w:eastAsia="zh-CN"/>
        </w:rPr>
        <w:t xml:space="preserve"> </w:t>
      </w:r>
    </w:p>
    <w:p>
      <w:pPr>
        <w:rPr>
          <w:rFonts w:hint="default" w:eastAsia="宋体"/>
          <w:lang w:val="en-US" w:eastAsia="zh-CN"/>
        </w:rPr>
      </w:pPr>
      <w:r>
        <w:rPr>
          <w:rFonts w:hint="eastAsia" w:ascii="Times New Roman" w:hAnsi="Times New Roman" w:eastAsia="宋体"/>
          <w:b/>
          <w:sz w:val="20"/>
          <w:szCs w:val="20"/>
          <w:lang w:val="en-US" w:eastAsia="zh-CN"/>
        </w:rPr>
        <w:t>Observation</w:t>
      </w:r>
      <w:r>
        <w:rPr>
          <w:rFonts w:hint="eastAsia" w:ascii="Times New Roman" w:hAnsi="Times New Roman"/>
          <w:b/>
          <w:sz w:val="20"/>
          <w:szCs w:val="20"/>
        </w:rPr>
        <w:t xml:space="preserve"> </w:t>
      </w:r>
      <w:r>
        <w:rPr>
          <w:rFonts w:hint="eastAsia" w:ascii="Times New Roman" w:hAnsi="Times New Roman" w:eastAsia="宋体"/>
          <w:b/>
          <w:sz w:val="20"/>
          <w:szCs w:val="20"/>
          <w:lang w:val="en-US" w:eastAsia="zh-CN"/>
        </w:rPr>
        <w:t>3</w:t>
      </w:r>
      <w:r>
        <w:rPr>
          <w:rFonts w:hint="eastAsia" w:ascii="Times New Roman" w:hAnsi="Times New Roman"/>
          <w:b/>
          <w:sz w:val="20"/>
          <w:szCs w:val="20"/>
        </w:rPr>
        <w:t>:</w:t>
      </w:r>
      <w:r>
        <w:rPr>
          <w:rFonts w:hint="eastAsia" w:eastAsia="宋体"/>
          <w:b/>
          <w:sz w:val="20"/>
          <w:szCs w:val="20"/>
          <w:lang w:val="en-US" w:eastAsia="zh-CN"/>
        </w:rPr>
        <w:t xml:space="preserve"> EVM assumptions will impact performance gain for FR2 UL 256QAM.</w:t>
      </w:r>
      <w:r>
        <w:rPr>
          <w:rFonts w:hint="eastAsia" w:eastAsia="宋体"/>
          <w:lang w:val="en-US" w:eastAsia="zh-CN"/>
        </w:rPr>
        <w:t xml:space="preserve"> </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after="80" w:line="260" w:lineRule="auto"/>
        <w:rPr>
          <w:rFonts w:eastAsia="宋体"/>
          <w:bCs/>
          <w:szCs w:val="20"/>
          <w:lang w:eastAsia="zh-CN"/>
        </w:rPr>
      </w:pPr>
      <w:r>
        <w:rPr>
          <w:rFonts w:eastAsia="宋体"/>
          <w:bCs/>
          <w:szCs w:val="20"/>
          <w:lang w:eastAsia="zh-CN"/>
        </w:rPr>
        <w:t xml:space="preserve">Based on the analysis, the following </w:t>
      </w:r>
      <w:r>
        <w:rPr>
          <w:rFonts w:hint="eastAsia" w:eastAsia="宋体"/>
          <w:bCs/>
          <w:szCs w:val="20"/>
          <w:lang w:val="en-US" w:eastAsia="zh-CN"/>
        </w:rPr>
        <w:t>observations</w:t>
      </w:r>
      <w:r>
        <w:rPr>
          <w:rFonts w:eastAsia="宋体"/>
          <w:bCs/>
          <w:szCs w:val="20"/>
          <w:lang w:eastAsia="zh-CN"/>
        </w:rPr>
        <w:t xml:space="preserve"> </w:t>
      </w:r>
      <w:r>
        <w:rPr>
          <w:rFonts w:hint="eastAsia" w:eastAsia="宋体"/>
          <w:bCs/>
          <w:szCs w:val="20"/>
          <w:lang w:val="en-US" w:eastAsia="zh-CN"/>
        </w:rPr>
        <w:t xml:space="preserve">are </w:t>
      </w:r>
      <w:r>
        <w:rPr>
          <w:rFonts w:eastAsia="宋体"/>
          <w:bCs/>
          <w:szCs w:val="20"/>
          <w:lang w:eastAsia="zh-CN"/>
        </w:rPr>
        <w:t>given:</w:t>
      </w:r>
    </w:p>
    <w:p>
      <w:pPr>
        <w:rPr>
          <w:rFonts w:hint="eastAsia" w:eastAsia="宋体"/>
          <w:lang w:val="en-US" w:eastAsia="zh-CN"/>
        </w:rPr>
      </w:pPr>
      <w:r>
        <w:rPr>
          <w:rFonts w:hint="eastAsia" w:ascii="Times New Roman" w:hAnsi="Times New Roman" w:eastAsia="宋体"/>
          <w:b/>
          <w:sz w:val="20"/>
          <w:szCs w:val="20"/>
          <w:lang w:val="en-US" w:eastAsia="zh-CN"/>
        </w:rPr>
        <w:t>Observation</w:t>
      </w:r>
      <w:r>
        <w:rPr>
          <w:rFonts w:hint="eastAsia" w:ascii="Times New Roman" w:hAnsi="Times New Roman"/>
          <w:b/>
          <w:sz w:val="20"/>
          <w:szCs w:val="20"/>
        </w:rPr>
        <w:t xml:space="preserve"> </w:t>
      </w:r>
      <w:r>
        <w:rPr>
          <w:rFonts w:hint="eastAsia" w:ascii="Times New Roman" w:hAnsi="Times New Roman" w:eastAsia="宋体"/>
          <w:b/>
          <w:sz w:val="20"/>
          <w:szCs w:val="20"/>
          <w:lang w:val="en-US" w:eastAsia="zh-CN"/>
        </w:rPr>
        <w:t>1</w:t>
      </w:r>
      <w:r>
        <w:rPr>
          <w:rFonts w:hint="eastAsia" w:ascii="Times New Roman" w:hAnsi="Times New Roman"/>
          <w:b/>
          <w:sz w:val="20"/>
          <w:szCs w:val="20"/>
        </w:rPr>
        <w:t>:</w:t>
      </w:r>
      <w:r>
        <w:rPr>
          <w:rFonts w:hint="eastAsia" w:eastAsia="宋体"/>
          <w:b/>
          <w:sz w:val="20"/>
          <w:szCs w:val="20"/>
          <w:lang w:val="en-US" w:eastAsia="zh-CN"/>
        </w:rPr>
        <w:t xml:space="preserve"> 256QAM performance gain can be expected in AWGN and TDL-D channel.</w:t>
      </w:r>
      <w:r>
        <w:rPr>
          <w:rFonts w:hint="eastAsia" w:eastAsia="宋体"/>
          <w:lang w:val="en-US" w:eastAsia="zh-CN"/>
        </w:rPr>
        <w:t xml:space="preserve"> </w:t>
      </w:r>
    </w:p>
    <w:p>
      <w:pPr>
        <w:rPr>
          <w:rFonts w:hint="eastAsia" w:eastAsia="宋体"/>
          <w:lang w:val="en-US" w:eastAsia="zh-CN"/>
        </w:rPr>
      </w:pPr>
      <w:r>
        <w:rPr>
          <w:rFonts w:hint="eastAsia" w:ascii="Times New Roman" w:hAnsi="Times New Roman" w:eastAsia="宋体"/>
          <w:b/>
          <w:sz w:val="20"/>
          <w:szCs w:val="20"/>
          <w:lang w:val="en-US" w:eastAsia="zh-CN"/>
        </w:rPr>
        <w:t>Observation</w:t>
      </w:r>
      <w:r>
        <w:rPr>
          <w:rFonts w:hint="eastAsia" w:ascii="Times New Roman" w:hAnsi="Times New Roman"/>
          <w:b/>
          <w:sz w:val="20"/>
          <w:szCs w:val="20"/>
        </w:rPr>
        <w:t xml:space="preserve"> </w:t>
      </w:r>
      <w:r>
        <w:rPr>
          <w:rFonts w:hint="eastAsia" w:ascii="Times New Roman" w:hAnsi="Times New Roman" w:eastAsia="宋体"/>
          <w:b/>
          <w:sz w:val="20"/>
          <w:szCs w:val="20"/>
          <w:lang w:val="en-US" w:eastAsia="zh-CN"/>
        </w:rPr>
        <w:t>2</w:t>
      </w:r>
      <w:r>
        <w:rPr>
          <w:rFonts w:hint="eastAsia" w:ascii="Times New Roman" w:hAnsi="Times New Roman"/>
          <w:b/>
          <w:sz w:val="20"/>
          <w:szCs w:val="20"/>
        </w:rPr>
        <w:t>:</w:t>
      </w:r>
      <w:r>
        <w:rPr>
          <w:rFonts w:hint="eastAsia" w:eastAsia="宋体"/>
          <w:b/>
          <w:sz w:val="20"/>
          <w:szCs w:val="20"/>
          <w:lang w:val="en-US" w:eastAsia="zh-CN"/>
        </w:rPr>
        <w:t xml:space="preserve"> 256QAM performance gain is not obvious in TDL-A channel.</w:t>
      </w:r>
      <w:r>
        <w:rPr>
          <w:rFonts w:hint="eastAsia" w:eastAsia="宋体"/>
          <w:lang w:val="en-US" w:eastAsia="zh-CN"/>
        </w:rPr>
        <w:t xml:space="preserve"> </w:t>
      </w:r>
    </w:p>
    <w:p>
      <w:pPr>
        <w:suppressAutoHyphens/>
        <w:spacing w:after="80" w:line="260" w:lineRule="auto"/>
        <w:rPr>
          <w:rFonts w:eastAsia="宋体"/>
          <w:bCs/>
          <w:szCs w:val="20"/>
          <w:lang w:eastAsia="zh-CN"/>
        </w:rPr>
      </w:pPr>
      <w:r>
        <w:rPr>
          <w:rFonts w:hint="eastAsia" w:ascii="Times New Roman" w:hAnsi="Times New Roman" w:eastAsia="宋体"/>
          <w:b/>
          <w:sz w:val="20"/>
          <w:szCs w:val="20"/>
          <w:lang w:val="en-US" w:eastAsia="zh-CN"/>
        </w:rPr>
        <w:t>Observation</w:t>
      </w:r>
      <w:r>
        <w:rPr>
          <w:rFonts w:hint="eastAsia" w:ascii="Times New Roman" w:hAnsi="Times New Roman"/>
          <w:b/>
          <w:sz w:val="20"/>
          <w:szCs w:val="20"/>
        </w:rPr>
        <w:t xml:space="preserve"> </w:t>
      </w:r>
      <w:r>
        <w:rPr>
          <w:rFonts w:hint="eastAsia" w:ascii="Times New Roman" w:hAnsi="Times New Roman" w:eastAsia="宋体"/>
          <w:b/>
          <w:sz w:val="20"/>
          <w:szCs w:val="20"/>
          <w:lang w:val="en-US" w:eastAsia="zh-CN"/>
        </w:rPr>
        <w:t>3</w:t>
      </w:r>
      <w:r>
        <w:rPr>
          <w:rFonts w:hint="eastAsia" w:ascii="Times New Roman" w:hAnsi="Times New Roman"/>
          <w:b/>
          <w:sz w:val="20"/>
          <w:szCs w:val="20"/>
        </w:rPr>
        <w:t>:</w:t>
      </w:r>
      <w:r>
        <w:rPr>
          <w:rFonts w:hint="eastAsia" w:eastAsia="宋体"/>
          <w:b/>
          <w:sz w:val="20"/>
          <w:szCs w:val="20"/>
          <w:lang w:val="en-US" w:eastAsia="zh-CN"/>
        </w:rPr>
        <w:t xml:space="preserve"> EVM assumption will impact performance gain for FR2 UL 256QAM.</w:t>
      </w:r>
    </w:p>
    <w:p>
      <w:pPr>
        <w:rPr>
          <w:bCs/>
          <w:szCs w:val="20"/>
          <w:lang w:eastAsia="zh-CN"/>
        </w:rPr>
      </w:pPr>
      <w:r>
        <w:rPr>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lang w:val="en-US"/>
        </w:rPr>
      </w:pPr>
      <w:bookmarkStart w:id="0" w:name="OLE_LINK1"/>
      <w:r>
        <w:rPr>
          <w:rFonts w:hint="eastAsia"/>
          <w:bCs/>
        </w:rPr>
        <w:t>RP-221862</w:t>
      </w:r>
      <w:bookmarkEnd w:id="0"/>
      <w:r>
        <w:rPr>
          <w:rFonts w:hint="eastAsia"/>
          <w:bCs/>
        </w:rPr>
        <w:t xml:space="preserve"> revised WID NR RF requirements enhancement for frequency range 2 (FR2), Phase 3</w:t>
      </w:r>
      <w:r>
        <w:rPr>
          <w:rFonts w:hint="eastAsia"/>
          <w:sz w:val="20"/>
          <w:szCs w:val="20"/>
          <w:lang w:val="en-US"/>
        </w:rPr>
        <w:t>.docx</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AC771BC"/>
    <w:multiLevelType w:val="multilevel"/>
    <w:tmpl w:val="1AC771BC"/>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53531E"/>
    <w:rsid w:val="01624027"/>
    <w:rsid w:val="0180738E"/>
    <w:rsid w:val="018B3BAA"/>
    <w:rsid w:val="01945324"/>
    <w:rsid w:val="01957959"/>
    <w:rsid w:val="01BA0053"/>
    <w:rsid w:val="01DC1C82"/>
    <w:rsid w:val="02065A2E"/>
    <w:rsid w:val="020928F5"/>
    <w:rsid w:val="02281CFD"/>
    <w:rsid w:val="0228598B"/>
    <w:rsid w:val="025B0AD8"/>
    <w:rsid w:val="02626E3D"/>
    <w:rsid w:val="02770E1A"/>
    <w:rsid w:val="028C48C4"/>
    <w:rsid w:val="0298367A"/>
    <w:rsid w:val="02D254EC"/>
    <w:rsid w:val="02F72239"/>
    <w:rsid w:val="02FE5F82"/>
    <w:rsid w:val="032D5AEE"/>
    <w:rsid w:val="03311F41"/>
    <w:rsid w:val="036F028C"/>
    <w:rsid w:val="03A05508"/>
    <w:rsid w:val="03AB67DC"/>
    <w:rsid w:val="03C77456"/>
    <w:rsid w:val="043D2559"/>
    <w:rsid w:val="0478015E"/>
    <w:rsid w:val="04EB6A3A"/>
    <w:rsid w:val="04FC2C75"/>
    <w:rsid w:val="0526729B"/>
    <w:rsid w:val="05510DD1"/>
    <w:rsid w:val="05AE018C"/>
    <w:rsid w:val="062A620F"/>
    <w:rsid w:val="064B00B0"/>
    <w:rsid w:val="06654A0B"/>
    <w:rsid w:val="06823D8F"/>
    <w:rsid w:val="06C93669"/>
    <w:rsid w:val="06CC69B4"/>
    <w:rsid w:val="07622262"/>
    <w:rsid w:val="07CD3CDD"/>
    <w:rsid w:val="085D2367"/>
    <w:rsid w:val="08721912"/>
    <w:rsid w:val="08AD5856"/>
    <w:rsid w:val="08C13553"/>
    <w:rsid w:val="08C71DC3"/>
    <w:rsid w:val="08FB28C9"/>
    <w:rsid w:val="09294F7D"/>
    <w:rsid w:val="09674661"/>
    <w:rsid w:val="097E672F"/>
    <w:rsid w:val="09825F02"/>
    <w:rsid w:val="09AB6C45"/>
    <w:rsid w:val="09E20449"/>
    <w:rsid w:val="0A2802DC"/>
    <w:rsid w:val="0A4B6F30"/>
    <w:rsid w:val="0A731B50"/>
    <w:rsid w:val="0A8E34E6"/>
    <w:rsid w:val="0AB60DEE"/>
    <w:rsid w:val="0B802D0D"/>
    <w:rsid w:val="0BC176FB"/>
    <w:rsid w:val="0BF41031"/>
    <w:rsid w:val="0C0C5682"/>
    <w:rsid w:val="0C1D57F9"/>
    <w:rsid w:val="0C953742"/>
    <w:rsid w:val="0CA242EA"/>
    <w:rsid w:val="0CB30E04"/>
    <w:rsid w:val="0D613BA3"/>
    <w:rsid w:val="0D744565"/>
    <w:rsid w:val="0D7F564D"/>
    <w:rsid w:val="0D835665"/>
    <w:rsid w:val="0DE052FE"/>
    <w:rsid w:val="0DFF2B1F"/>
    <w:rsid w:val="0E3330D0"/>
    <w:rsid w:val="0E5576D4"/>
    <w:rsid w:val="0E9E4D5A"/>
    <w:rsid w:val="0ECE66B5"/>
    <w:rsid w:val="0F11785B"/>
    <w:rsid w:val="0F21557B"/>
    <w:rsid w:val="0F372967"/>
    <w:rsid w:val="0F5107D2"/>
    <w:rsid w:val="0F5413E6"/>
    <w:rsid w:val="0F906704"/>
    <w:rsid w:val="0FDA7DDA"/>
    <w:rsid w:val="0FFA1150"/>
    <w:rsid w:val="109658C1"/>
    <w:rsid w:val="112D72C6"/>
    <w:rsid w:val="113F3856"/>
    <w:rsid w:val="11683FF9"/>
    <w:rsid w:val="11A50508"/>
    <w:rsid w:val="120639A8"/>
    <w:rsid w:val="12447798"/>
    <w:rsid w:val="125D4125"/>
    <w:rsid w:val="12AE4121"/>
    <w:rsid w:val="13583391"/>
    <w:rsid w:val="137F4008"/>
    <w:rsid w:val="13C30FC1"/>
    <w:rsid w:val="13F672DD"/>
    <w:rsid w:val="140A2CA4"/>
    <w:rsid w:val="140C5848"/>
    <w:rsid w:val="1415743A"/>
    <w:rsid w:val="141B497D"/>
    <w:rsid w:val="144E5CD4"/>
    <w:rsid w:val="14BF7340"/>
    <w:rsid w:val="14D87DF4"/>
    <w:rsid w:val="14FF6FC2"/>
    <w:rsid w:val="15220493"/>
    <w:rsid w:val="15222491"/>
    <w:rsid w:val="157674F6"/>
    <w:rsid w:val="158F210D"/>
    <w:rsid w:val="15E12A88"/>
    <w:rsid w:val="15E95672"/>
    <w:rsid w:val="16054980"/>
    <w:rsid w:val="16271D63"/>
    <w:rsid w:val="165B2ECB"/>
    <w:rsid w:val="167A7800"/>
    <w:rsid w:val="16BD2FB9"/>
    <w:rsid w:val="16C05D40"/>
    <w:rsid w:val="16E7731D"/>
    <w:rsid w:val="179855D1"/>
    <w:rsid w:val="179F1E7A"/>
    <w:rsid w:val="17A613DC"/>
    <w:rsid w:val="17AF2DFF"/>
    <w:rsid w:val="17C527E0"/>
    <w:rsid w:val="188A0D46"/>
    <w:rsid w:val="189553E8"/>
    <w:rsid w:val="18EF4764"/>
    <w:rsid w:val="19607D81"/>
    <w:rsid w:val="199503FD"/>
    <w:rsid w:val="19AF5CF6"/>
    <w:rsid w:val="19C63D4F"/>
    <w:rsid w:val="19C735BB"/>
    <w:rsid w:val="19F256A0"/>
    <w:rsid w:val="1A0A0564"/>
    <w:rsid w:val="1A3F5603"/>
    <w:rsid w:val="1A454D8D"/>
    <w:rsid w:val="1AA54D0B"/>
    <w:rsid w:val="1B3C4343"/>
    <w:rsid w:val="1B870B5B"/>
    <w:rsid w:val="1BBC09F6"/>
    <w:rsid w:val="1C3571F6"/>
    <w:rsid w:val="1C3672FA"/>
    <w:rsid w:val="1C3A751E"/>
    <w:rsid w:val="1C5D00DA"/>
    <w:rsid w:val="1C7D0C1A"/>
    <w:rsid w:val="1C7E2DD6"/>
    <w:rsid w:val="1CA53FA1"/>
    <w:rsid w:val="1CAD4CCB"/>
    <w:rsid w:val="1CCC40C9"/>
    <w:rsid w:val="1D186F9D"/>
    <w:rsid w:val="1D504421"/>
    <w:rsid w:val="1D7F6660"/>
    <w:rsid w:val="1DA251E1"/>
    <w:rsid w:val="1DA93704"/>
    <w:rsid w:val="1E343C5D"/>
    <w:rsid w:val="1ECF1323"/>
    <w:rsid w:val="1F295D72"/>
    <w:rsid w:val="1F4325C8"/>
    <w:rsid w:val="1F520B16"/>
    <w:rsid w:val="1F595BBB"/>
    <w:rsid w:val="1F7C7957"/>
    <w:rsid w:val="1FD21E35"/>
    <w:rsid w:val="1FD96681"/>
    <w:rsid w:val="1FE10390"/>
    <w:rsid w:val="1FEE7A9C"/>
    <w:rsid w:val="200E58BD"/>
    <w:rsid w:val="204C064C"/>
    <w:rsid w:val="205164A7"/>
    <w:rsid w:val="2090238B"/>
    <w:rsid w:val="20A434B3"/>
    <w:rsid w:val="20BA4AFB"/>
    <w:rsid w:val="20BA6502"/>
    <w:rsid w:val="20EE04E5"/>
    <w:rsid w:val="21592706"/>
    <w:rsid w:val="216D7544"/>
    <w:rsid w:val="218E2266"/>
    <w:rsid w:val="21B80AA5"/>
    <w:rsid w:val="221703FC"/>
    <w:rsid w:val="225216B5"/>
    <w:rsid w:val="228A40D4"/>
    <w:rsid w:val="22B37446"/>
    <w:rsid w:val="22CB0F22"/>
    <w:rsid w:val="22D279A8"/>
    <w:rsid w:val="23034661"/>
    <w:rsid w:val="234F141B"/>
    <w:rsid w:val="235408E6"/>
    <w:rsid w:val="23A308EE"/>
    <w:rsid w:val="23FD5BE3"/>
    <w:rsid w:val="24386853"/>
    <w:rsid w:val="24715F69"/>
    <w:rsid w:val="24760A5D"/>
    <w:rsid w:val="24B140D4"/>
    <w:rsid w:val="24C569C9"/>
    <w:rsid w:val="24F907DC"/>
    <w:rsid w:val="250D35C2"/>
    <w:rsid w:val="252437DA"/>
    <w:rsid w:val="252A03F9"/>
    <w:rsid w:val="25DD4552"/>
    <w:rsid w:val="25EF43C8"/>
    <w:rsid w:val="262E08BF"/>
    <w:rsid w:val="263951B2"/>
    <w:rsid w:val="263E55AD"/>
    <w:rsid w:val="264B37D3"/>
    <w:rsid w:val="265B2B39"/>
    <w:rsid w:val="269A23BD"/>
    <w:rsid w:val="27930B1B"/>
    <w:rsid w:val="27C957F9"/>
    <w:rsid w:val="27EF2EB7"/>
    <w:rsid w:val="28140998"/>
    <w:rsid w:val="283146AB"/>
    <w:rsid w:val="288C6204"/>
    <w:rsid w:val="28A96A0F"/>
    <w:rsid w:val="28DD5033"/>
    <w:rsid w:val="28EE7A07"/>
    <w:rsid w:val="29115557"/>
    <w:rsid w:val="291F3AAD"/>
    <w:rsid w:val="293C6591"/>
    <w:rsid w:val="29CD4516"/>
    <w:rsid w:val="2A1E2DE0"/>
    <w:rsid w:val="2A2B222C"/>
    <w:rsid w:val="2A7049D1"/>
    <w:rsid w:val="2AA60E99"/>
    <w:rsid w:val="2AB04251"/>
    <w:rsid w:val="2ABE7215"/>
    <w:rsid w:val="2AE558B3"/>
    <w:rsid w:val="2AE8229B"/>
    <w:rsid w:val="2AE92316"/>
    <w:rsid w:val="2AEC42E5"/>
    <w:rsid w:val="2B034D47"/>
    <w:rsid w:val="2B641C02"/>
    <w:rsid w:val="2B6F681F"/>
    <w:rsid w:val="2B8302EB"/>
    <w:rsid w:val="2B893BA3"/>
    <w:rsid w:val="2BC82480"/>
    <w:rsid w:val="2BEB375B"/>
    <w:rsid w:val="2C07332F"/>
    <w:rsid w:val="2C1A5D63"/>
    <w:rsid w:val="2C2907BF"/>
    <w:rsid w:val="2C80477B"/>
    <w:rsid w:val="2CA73FE3"/>
    <w:rsid w:val="2CD46AFB"/>
    <w:rsid w:val="2CE15438"/>
    <w:rsid w:val="2D812190"/>
    <w:rsid w:val="2DA94150"/>
    <w:rsid w:val="2E1176AC"/>
    <w:rsid w:val="2E2701FF"/>
    <w:rsid w:val="2ECB7AE0"/>
    <w:rsid w:val="2F0E5D72"/>
    <w:rsid w:val="2F235269"/>
    <w:rsid w:val="2F322289"/>
    <w:rsid w:val="2F4B1C2D"/>
    <w:rsid w:val="2F691CE7"/>
    <w:rsid w:val="2FC15AF9"/>
    <w:rsid w:val="2FDC4E75"/>
    <w:rsid w:val="302F30EA"/>
    <w:rsid w:val="3056178E"/>
    <w:rsid w:val="30571C73"/>
    <w:rsid w:val="306A1C37"/>
    <w:rsid w:val="30943D7F"/>
    <w:rsid w:val="309460D4"/>
    <w:rsid w:val="309C7501"/>
    <w:rsid w:val="30A375B7"/>
    <w:rsid w:val="30A819D5"/>
    <w:rsid w:val="30FF1022"/>
    <w:rsid w:val="310D7287"/>
    <w:rsid w:val="312C2F69"/>
    <w:rsid w:val="313A0372"/>
    <w:rsid w:val="31414D46"/>
    <w:rsid w:val="3162168B"/>
    <w:rsid w:val="316C26E3"/>
    <w:rsid w:val="31B6217A"/>
    <w:rsid w:val="32305666"/>
    <w:rsid w:val="3254692A"/>
    <w:rsid w:val="328D4D87"/>
    <w:rsid w:val="32987EA1"/>
    <w:rsid w:val="32A57DB8"/>
    <w:rsid w:val="32EC2013"/>
    <w:rsid w:val="33021368"/>
    <w:rsid w:val="33133DBA"/>
    <w:rsid w:val="334138EA"/>
    <w:rsid w:val="33491F36"/>
    <w:rsid w:val="33883009"/>
    <w:rsid w:val="33CC2F57"/>
    <w:rsid w:val="346C2BDC"/>
    <w:rsid w:val="347A4842"/>
    <w:rsid w:val="34E63221"/>
    <w:rsid w:val="34EA3595"/>
    <w:rsid w:val="34F31159"/>
    <w:rsid w:val="34F61BA3"/>
    <w:rsid w:val="35684E72"/>
    <w:rsid w:val="357201A0"/>
    <w:rsid w:val="35D34EB8"/>
    <w:rsid w:val="35F26505"/>
    <w:rsid w:val="361A0DD1"/>
    <w:rsid w:val="363A75C1"/>
    <w:rsid w:val="368E7AA5"/>
    <w:rsid w:val="36950F43"/>
    <w:rsid w:val="36C257C0"/>
    <w:rsid w:val="36C62770"/>
    <w:rsid w:val="36F13745"/>
    <w:rsid w:val="37235D83"/>
    <w:rsid w:val="373C1BA5"/>
    <w:rsid w:val="37A42BA6"/>
    <w:rsid w:val="380A2593"/>
    <w:rsid w:val="386C1CFB"/>
    <w:rsid w:val="388B6EBF"/>
    <w:rsid w:val="388C38C8"/>
    <w:rsid w:val="388E6306"/>
    <w:rsid w:val="3891144C"/>
    <w:rsid w:val="38C927B2"/>
    <w:rsid w:val="38CA0360"/>
    <w:rsid w:val="38E40513"/>
    <w:rsid w:val="38F217F7"/>
    <w:rsid w:val="393853EE"/>
    <w:rsid w:val="39474FFC"/>
    <w:rsid w:val="39A12E64"/>
    <w:rsid w:val="39E030FB"/>
    <w:rsid w:val="39E551C2"/>
    <w:rsid w:val="3A280D85"/>
    <w:rsid w:val="3A651C7C"/>
    <w:rsid w:val="3A8C19A6"/>
    <w:rsid w:val="3A985F9F"/>
    <w:rsid w:val="3ABE7AAF"/>
    <w:rsid w:val="3ACA79CB"/>
    <w:rsid w:val="3ACD696C"/>
    <w:rsid w:val="3B1D04C9"/>
    <w:rsid w:val="3B564493"/>
    <w:rsid w:val="3B68666D"/>
    <w:rsid w:val="3B7F12F6"/>
    <w:rsid w:val="3B924465"/>
    <w:rsid w:val="3BA94452"/>
    <w:rsid w:val="3C031B6A"/>
    <w:rsid w:val="3C5A7C30"/>
    <w:rsid w:val="3C8B2EA4"/>
    <w:rsid w:val="3C98267C"/>
    <w:rsid w:val="3CA02F85"/>
    <w:rsid w:val="3CA30E32"/>
    <w:rsid w:val="3CAE115E"/>
    <w:rsid w:val="3CB6404C"/>
    <w:rsid w:val="3CC85F33"/>
    <w:rsid w:val="3D005676"/>
    <w:rsid w:val="3D5A19A0"/>
    <w:rsid w:val="3D606F86"/>
    <w:rsid w:val="3D6F2596"/>
    <w:rsid w:val="3DC16634"/>
    <w:rsid w:val="3DE87386"/>
    <w:rsid w:val="3E1A5B77"/>
    <w:rsid w:val="3E3D115C"/>
    <w:rsid w:val="3E816ACA"/>
    <w:rsid w:val="3EBA3F51"/>
    <w:rsid w:val="3ED90D52"/>
    <w:rsid w:val="3EFB0DA2"/>
    <w:rsid w:val="3F4371E9"/>
    <w:rsid w:val="3F5B25E2"/>
    <w:rsid w:val="3F8208BE"/>
    <w:rsid w:val="3FBE5D52"/>
    <w:rsid w:val="3FEB354A"/>
    <w:rsid w:val="400021A9"/>
    <w:rsid w:val="40273EB3"/>
    <w:rsid w:val="403917EB"/>
    <w:rsid w:val="404F7A6B"/>
    <w:rsid w:val="40705D5D"/>
    <w:rsid w:val="40C765F3"/>
    <w:rsid w:val="40E1213A"/>
    <w:rsid w:val="40E6301D"/>
    <w:rsid w:val="41071BAC"/>
    <w:rsid w:val="41256FB7"/>
    <w:rsid w:val="4154071D"/>
    <w:rsid w:val="41CD1A27"/>
    <w:rsid w:val="41F149C4"/>
    <w:rsid w:val="429E77EF"/>
    <w:rsid w:val="42AE14DC"/>
    <w:rsid w:val="42C843A0"/>
    <w:rsid w:val="42F20CDD"/>
    <w:rsid w:val="434941B7"/>
    <w:rsid w:val="43776349"/>
    <w:rsid w:val="43A46A86"/>
    <w:rsid w:val="43EE5166"/>
    <w:rsid w:val="43F57DBA"/>
    <w:rsid w:val="4474621B"/>
    <w:rsid w:val="44AC3C12"/>
    <w:rsid w:val="44B2766E"/>
    <w:rsid w:val="44C82F04"/>
    <w:rsid w:val="44F36316"/>
    <w:rsid w:val="453D01E5"/>
    <w:rsid w:val="45834801"/>
    <w:rsid w:val="458F4D24"/>
    <w:rsid w:val="459C5BD8"/>
    <w:rsid w:val="45A36544"/>
    <w:rsid w:val="45A91BE1"/>
    <w:rsid w:val="45B01F58"/>
    <w:rsid w:val="45E86B72"/>
    <w:rsid w:val="45ED56E7"/>
    <w:rsid w:val="45F60A50"/>
    <w:rsid w:val="46036BC7"/>
    <w:rsid w:val="46462F04"/>
    <w:rsid w:val="465B1E86"/>
    <w:rsid w:val="46C6208F"/>
    <w:rsid w:val="473010D7"/>
    <w:rsid w:val="482C6CD1"/>
    <w:rsid w:val="4853345A"/>
    <w:rsid w:val="48845C84"/>
    <w:rsid w:val="489C44D3"/>
    <w:rsid w:val="48F82FC3"/>
    <w:rsid w:val="490D3059"/>
    <w:rsid w:val="49500FEB"/>
    <w:rsid w:val="4982678C"/>
    <w:rsid w:val="49E077A2"/>
    <w:rsid w:val="49F32E1B"/>
    <w:rsid w:val="49FF1C1E"/>
    <w:rsid w:val="4A0B7057"/>
    <w:rsid w:val="4A280667"/>
    <w:rsid w:val="4A325FE0"/>
    <w:rsid w:val="4A495F41"/>
    <w:rsid w:val="4A511B6E"/>
    <w:rsid w:val="4A7C4548"/>
    <w:rsid w:val="4A863BCC"/>
    <w:rsid w:val="4AD202C9"/>
    <w:rsid w:val="4AEE473A"/>
    <w:rsid w:val="4B3D6072"/>
    <w:rsid w:val="4B5B5B93"/>
    <w:rsid w:val="4B901389"/>
    <w:rsid w:val="4BFE2AE1"/>
    <w:rsid w:val="4C292792"/>
    <w:rsid w:val="4C2C30BE"/>
    <w:rsid w:val="4C3A2A9D"/>
    <w:rsid w:val="4C5D2EB7"/>
    <w:rsid w:val="4C7C3579"/>
    <w:rsid w:val="4C8B5DCD"/>
    <w:rsid w:val="4C8D7B0E"/>
    <w:rsid w:val="4C984AEE"/>
    <w:rsid w:val="4CBF03D6"/>
    <w:rsid w:val="4D014AEF"/>
    <w:rsid w:val="4D105B68"/>
    <w:rsid w:val="4D1E3273"/>
    <w:rsid w:val="4D513299"/>
    <w:rsid w:val="4D9D5F78"/>
    <w:rsid w:val="4DA22392"/>
    <w:rsid w:val="4DBE5704"/>
    <w:rsid w:val="4DF96CBC"/>
    <w:rsid w:val="4E4C233E"/>
    <w:rsid w:val="4E6467C3"/>
    <w:rsid w:val="4E9A7FF9"/>
    <w:rsid w:val="4ED26F97"/>
    <w:rsid w:val="4EDA7726"/>
    <w:rsid w:val="4EDF702E"/>
    <w:rsid w:val="4EF148C1"/>
    <w:rsid w:val="4F047884"/>
    <w:rsid w:val="4F186AC1"/>
    <w:rsid w:val="4F1E2479"/>
    <w:rsid w:val="4F670186"/>
    <w:rsid w:val="4F813AF7"/>
    <w:rsid w:val="4FA5289F"/>
    <w:rsid w:val="4FBD6EC5"/>
    <w:rsid w:val="4FBF1AB2"/>
    <w:rsid w:val="4FE42B9D"/>
    <w:rsid w:val="50150A2D"/>
    <w:rsid w:val="504E5AC6"/>
    <w:rsid w:val="505076EF"/>
    <w:rsid w:val="505F3BD5"/>
    <w:rsid w:val="507820B7"/>
    <w:rsid w:val="508A0B34"/>
    <w:rsid w:val="509A0302"/>
    <w:rsid w:val="50E042AF"/>
    <w:rsid w:val="513C5648"/>
    <w:rsid w:val="515A17DC"/>
    <w:rsid w:val="51685DFA"/>
    <w:rsid w:val="51725D98"/>
    <w:rsid w:val="51736098"/>
    <w:rsid w:val="51B14BED"/>
    <w:rsid w:val="51EE252C"/>
    <w:rsid w:val="51FA3D86"/>
    <w:rsid w:val="52022698"/>
    <w:rsid w:val="52064582"/>
    <w:rsid w:val="521734BE"/>
    <w:rsid w:val="526965AA"/>
    <w:rsid w:val="52963B66"/>
    <w:rsid w:val="531E2281"/>
    <w:rsid w:val="54175BE1"/>
    <w:rsid w:val="5445166E"/>
    <w:rsid w:val="54632332"/>
    <w:rsid w:val="547236DF"/>
    <w:rsid w:val="54944CE7"/>
    <w:rsid w:val="54E95C39"/>
    <w:rsid w:val="55436523"/>
    <w:rsid w:val="556A455B"/>
    <w:rsid w:val="55CA20E9"/>
    <w:rsid w:val="55ED23C7"/>
    <w:rsid w:val="560C0036"/>
    <w:rsid w:val="563C5184"/>
    <w:rsid w:val="565631F5"/>
    <w:rsid w:val="56C44CD3"/>
    <w:rsid w:val="57D82681"/>
    <w:rsid w:val="581B09AF"/>
    <w:rsid w:val="582E227B"/>
    <w:rsid w:val="583C79A9"/>
    <w:rsid w:val="5872028B"/>
    <w:rsid w:val="58983966"/>
    <w:rsid w:val="589E3B99"/>
    <w:rsid w:val="589F3533"/>
    <w:rsid w:val="58FF6291"/>
    <w:rsid w:val="593261D2"/>
    <w:rsid w:val="59423730"/>
    <w:rsid w:val="595A6E9E"/>
    <w:rsid w:val="5A8F1C82"/>
    <w:rsid w:val="5AA04D8D"/>
    <w:rsid w:val="5AFF5DE6"/>
    <w:rsid w:val="5B4026E8"/>
    <w:rsid w:val="5B482E24"/>
    <w:rsid w:val="5B9D08DB"/>
    <w:rsid w:val="5BAD5A86"/>
    <w:rsid w:val="5C0025C0"/>
    <w:rsid w:val="5C6D1CB7"/>
    <w:rsid w:val="5C9A4DB7"/>
    <w:rsid w:val="5CC016AB"/>
    <w:rsid w:val="5D1A39EE"/>
    <w:rsid w:val="5D5C7688"/>
    <w:rsid w:val="5D615C0F"/>
    <w:rsid w:val="5D844DB8"/>
    <w:rsid w:val="5D9F7EE8"/>
    <w:rsid w:val="5DEF6B62"/>
    <w:rsid w:val="5E224225"/>
    <w:rsid w:val="5E2732CD"/>
    <w:rsid w:val="5E336F39"/>
    <w:rsid w:val="5E7E4092"/>
    <w:rsid w:val="5F5F081B"/>
    <w:rsid w:val="5FEE3BAD"/>
    <w:rsid w:val="5FF20BF7"/>
    <w:rsid w:val="60205F90"/>
    <w:rsid w:val="608E2F6C"/>
    <w:rsid w:val="60CC3DDB"/>
    <w:rsid w:val="60DC4E84"/>
    <w:rsid w:val="60EC3C37"/>
    <w:rsid w:val="613D07C4"/>
    <w:rsid w:val="615C14A6"/>
    <w:rsid w:val="617A5318"/>
    <w:rsid w:val="61A058F7"/>
    <w:rsid w:val="61F4098A"/>
    <w:rsid w:val="62082A4E"/>
    <w:rsid w:val="623C28E2"/>
    <w:rsid w:val="62CA193B"/>
    <w:rsid w:val="62D53BF4"/>
    <w:rsid w:val="630A4626"/>
    <w:rsid w:val="631E0963"/>
    <w:rsid w:val="63483DC6"/>
    <w:rsid w:val="63610183"/>
    <w:rsid w:val="6367085D"/>
    <w:rsid w:val="637947A5"/>
    <w:rsid w:val="63BD4B8F"/>
    <w:rsid w:val="63D0005D"/>
    <w:rsid w:val="64467B93"/>
    <w:rsid w:val="64B7605C"/>
    <w:rsid w:val="652564C3"/>
    <w:rsid w:val="652B096E"/>
    <w:rsid w:val="65530E49"/>
    <w:rsid w:val="658B678B"/>
    <w:rsid w:val="65E73B66"/>
    <w:rsid w:val="66131984"/>
    <w:rsid w:val="66187135"/>
    <w:rsid w:val="66C2270A"/>
    <w:rsid w:val="66E16576"/>
    <w:rsid w:val="66E33C2D"/>
    <w:rsid w:val="66FE6FC6"/>
    <w:rsid w:val="67427945"/>
    <w:rsid w:val="678164D2"/>
    <w:rsid w:val="67D079BF"/>
    <w:rsid w:val="67E04310"/>
    <w:rsid w:val="68121D83"/>
    <w:rsid w:val="68233C28"/>
    <w:rsid w:val="68667455"/>
    <w:rsid w:val="68E34076"/>
    <w:rsid w:val="6906197A"/>
    <w:rsid w:val="690C637F"/>
    <w:rsid w:val="692A17F3"/>
    <w:rsid w:val="69C27972"/>
    <w:rsid w:val="6A2E4954"/>
    <w:rsid w:val="6A6E396D"/>
    <w:rsid w:val="6AC9421D"/>
    <w:rsid w:val="6AD94F47"/>
    <w:rsid w:val="6AE641A3"/>
    <w:rsid w:val="6AEF29C9"/>
    <w:rsid w:val="6C4C2667"/>
    <w:rsid w:val="6CB17A00"/>
    <w:rsid w:val="6CD40BE1"/>
    <w:rsid w:val="6CDA49A3"/>
    <w:rsid w:val="6CED7FA5"/>
    <w:rsid w:val="6CF36133"/>
    <w:rsid w:val="6D27071C"/>
    <w:rsid w:val="6D2C0194"/>
    <w:rsid w:val="6D38774B"/>
    <w:rsid w:val="6D704B0C"/>
    <w:rsid w:val="6DD1076A"/>
    <w:rsid w:val="6DDE3DAF"/>
    <w:rsid w:val="6E1735DC"/>
    <w:rsid w:val="6E1F4ECD"/>
    <w:rsid w:val="6E2211D6"/>
    <w:rsid w:val="6E3B2AD1"/>
    <w:rsid w:val="6EBD64D7"/>
    <w:rsid w:val="6F2D66D6"/>
    <w:rsid w:val="6F4337FE"/>
    <w:rsid w:val="6F757C9C"/>
    <w:rsid w:val="6F7A0A72"/>
    <w:rsid w:val="6FBA4BA1"/>
    <w:rsid w:val="70E040A3"/>
    <w:rsid w:val="70E13200"/>
    <w:rsid w:val="714420CD"/>
    <w:rsid w:val="715F4C2D"/>
    <w:rsid w:val="71742846"/>
    <w:rsid w:val="71841719"/>
    <w:rsid w:val="72024D75"/>
    <w:rsid w:val="724530CF"/>
    <w:rsid w:val="72CB7F46"/>
    <w:rsid w:val="73121CB7"/>
    <w:rsid w:val="73134E8E"/>
    <w:rsid w:val="732716BC"/>
    <w:rsid w:val="74016246"/>
    <w:rsid w:val="745A4881"/>
    <w:rsid w:val="745C121D"/>
    <w:rsid w:val="74E40DB3"/>
    <w:rsid w:val="751B5F96"/>
    <w:rsid w:val="755C4C37"/>
    <w:rsid w:val="75622CB1"/>
    <w:rsid w:val="7611078B"/>
    <w:rsid w:val="761A2E8D"/>
    <w:rsid w:val="768D7CD7"/>
    <w:rsid w:val="76A17FB6"/>
    <w:rsid w:val="77245AA8"/>
    <w:rsid w:val="774D1291"/>
    <w:rsid w:val="775F4656"/>
    <w:rsid w:val="776C25E5"/>
    <w:rsid w:val="776C3E9D"/>
    <w:rsid w:val="77B7237F"/>
    <w:rsid w:val="77FD2C5E"/>
    <w:rsid w:val="78271104"/>
    <w:rsid w:val="784B7472"/>
    <w:rsid w:val="78861A8D"/>
    <w:rsid w:val="78ED42D2"/>
    <w:rsid w:val="78F82ED4"/>
    <w:rsid w:val="790114CB"/>
    <w:rsid w:val="7925703F"/>
    <w:rsid w:val="7962750F"/>
    <w:rsid w:val="796B0021"/>
    <w:rsid w:val="79701A60"/>
    <w:rsid w:val="797218E2"/>
    <w:rsid w:val="7A410FED"/>
    <w:rsid w:val="7A4205D3"/>
    <w:rsid w:val="7AB05BBC"/>
    <w:rsid w:val="7AB44E97"/>
    <w:rsid w:val="7AB94AC3"/>
    <w:rsid w:val="7AE36910"/>
    <w:rsid w:val="7B940404"/>
    <w:rsid w:val="7BF8597E"/>
    <w:rsid w:val="7C12395E"/>
    <w:rsid w:val="7C14711B"/>
    <w:rsid w:val="7C312516"/>
    <w:rsid w:val="7C45431D"/>
    <w:rsid w:val="7C4A144B"/>
    <w:rsid w:val="7C5E2D26"/>
    <w:rsid w:val="7C6B6B6B"/>
    <w:rsid w:val="7C963B24"/>
    <w:rsid w:val="7CAD1FA2"/>
    <w:rsid w:val="7D4C1C46"/>
    <w:rsid w:val="7DB44FBE"/>
    <w:rsid w:val="7DC64605"/>
    <w:rsid w:val="7DDD0501"/>
    <w:rsid w:val="7E2653BA"/>
    <w:rsid w:val="7E2B63E7"/>
    <w:rsid w:val="7E8A1E6A"/>
    <w:rsid w:val="7E8B79FF"/>
    <w:rsid w:val="7E905860"/>
    <w:rsid w:val="7E935AFB"/>
    <w:rsid w:val="7E9C3271"/>
    <w:rsid w:val="7EC65AAB"/>
    <w:rsid w:val="7EE64951"/>
    <w:rsid w:val="7F1D55DA"/>
    <w:rsid w:val="7F4610EC"/>
    <w:rsid w:val="7F50759A"/>
    <w:rsid w:val="7F62141C"/>
    <w:rsid w:val="7F8029F6"/>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4"/>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660</Words>
  <Characters>3762</Characters>
  <Lines>31</Lines>
  <Paragraphs>8</Paragraphs>
  <TotalTime>88</TotalTime>
  <ScaleCrop>false</ScaleCrop>
  <LinksUpToDate>false</LinksUpToDate>
  <CharactersWithSpaces>4414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2022-08-10T13:40:37Z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